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38B5F" w14:textId="77777777" w:rsidR="00687C78" w:rsidRPr="00B452F1" w:rsidRDefault="00687C78" w:rsidP="00687C78">
      <w:pPr>
        <w:spacing w:line="480" w:lineRule="auto"/>
        <w:rPr>
          <w:b/>
        </w:rPr>
      </w:pPr>
    </w:p>
    <w:p w14:paraId="16F4B317" w14:textId="77777777" w:rsidR="00687C78" w:rsidRPr="00B452F1" w:rsidRDefault="00687C78" w:rsidP="00687C78">
      <w:pPr>
        <w:spacing w:line="480" w:lineRule="auto"/>
        <w:rPr>
          <w:b/>
        </w:rPr>
      </w:pPr>
    </w:p>
    <w:p w14:paraId="10E3D826" w14:textId="77777777" w:rsidR="00687C78" w:rsidRPr="00B452F1" w:rsidRDefault="00687C78" w:rsidP="00687C78">
      <w:pPr>
        <w:spacing w:line="480" w:lineRule="auto"/>
        <w:rPr>
          <w:b/>
        </w:rPr>
      </w:pPr>
    </w:p>
    <w:p w14:paraId="4E7CB52E" w14:textId="77777777" w:rsidR="00687C78" w:rsidRPr="00B452F1" w:rsidRDefault="00687C78" w:rsidP="00687C78">
      <w:pPr>
        <w:spacing w:line="480" w:lineRule="auto"/>
        <w:rPr>
          <w:b/>
        </w:rPr>
      </w:pPr>
    </w:p>
    <w:p w14:paraId="067B13A7" w14:textId="3BA2C385" w:rsidR="00D17400" w:rsidRPr="00B452F1" w:rsidRDefault="00D17400" w:rsidP="00D17400">
      <w:pPr>
        <w:spacing w:line="480" w:lineRule="auto"/>
        <w:jc w:val="center"/>
        <w:rPr>
          <w:b/>
        </w:rPr>
      </w:pPr>
      <w:r w:rsidRPr="00B452F1">
        <w:rPr>
          <w:b/>
        </w:rPr>
        <w:t>Prevention/Intervention of Central Line Associated Bloodstream Infection (CLABSI)</w:t>
      </w:r>
    </w:p>
    <w:p w14:paraId="1EA94F1B" w14:textId="77777777" w:rsidR="00D17400" w:rsidRPr="00B452F1" w:rsidRDefault="00D17400" w:rsidP="00D17400">
      <w:pPr>
        <w:spacing w:after="160" w:line="480" w:lineRule="auto"/>
        <w:jc w:val="center"/>
        <w:rPr>
          <w:b/>
          <w:bCs/>
          <w:color w:val="333333"/>
        </w:rPr>
      </w:pPr>
    </w:p>
    <w:p w14:paraId="604C7F65" w14:textId="77777777" w:rsidR="00D17400" w:rsidRPr="00B452F1" w:rsidRDefault="00D17400" w:rsidP="00D17400">
      <w:pPr>
        <w:spacing w:after="160" w:line="480" w:lineRule="auto"/>
        <w:jc w:val="center"/>
        <w:rPr>
          <w:color w:val="333333"/>
        </w:rPr>
      </w:pPr>
      <w:r w:rsidRPr="00B452F1">
        <w:rPr>
          <w:color w:val="333333"/>
        </w:rPr>
        <w:t>Beauty O. Eule</w:t>
      </w:r>
    </w:p>
    <w:p w14:paraId="71C0358E" w14:textId="77777777" w:rsidR="00D17400" w:rsidRPr="00B452F1" w:rsidRDefault="00D17400" w:rsidP="00D17400">
      <w:pPr>
        <w:spacing w:before="200" w:line="480" w:lineRule="auto"/>
        <w:jc w:val="center"/>
        <w:rPr>
          <w:rFonts w:eastAsiaTheme="minorEastAsia"/>
          <w:color w:val="000000" w:themeColor="text1"/>
          <w:kern w:val="24"/>
        </w:rPr>
      </w:pPr>
      <w:r w:rsidRPr="00B452F1">
        <w:rPr>
          <w:rFonts w:eastAsiaTheme="minorEastAsia"/>
          <w:color w:val="000000" w:themeColor="text1"/>
          <w:kern w:val="24"/>
        </w:rPr>
        <w:t>School of Nursing, Old Dominion University</w:t>
      </w:r>
    </w:p>
    <w:p w14:paraId="4F137FE4" w14:textId="77777777" w:rsidR="00687C78" w:rsidRPr="00B452F1" w:rsidRDefault="00D17400" w:rsidP="00D17400">
      <w:pPr>
        <w:spacing w:before="200" w:line="480" w:lineRule="auto"/>
        <w:jc w:val="center"/>
        <w:rPr>
          <w:rFonts w:eastAsiaTheme="minorEastAsia"/>
          <w:color w:val="000000" w:themeColor="text1"/>
          <w:kern w:val="24"/>
        </w:rPr>
      </w:pPr>
      <w:r w:rsidRPr="00B452F1">
        <w:rPr>
          <w:rFonts w:eastAsiaTheme="minorEastAsia"/>
          <w:color w:val="000000" w:themeColor="text1"/>
          <w:kern w:val="24"/>
        </w:rPr>
        <w:t xml:space="preserve">NURS 403: </w:t>
      </w:r>
      <w:r w:rsidR="00687C78" w:rsidRPr="00B452F1">
        <w:rPr>
          <w:rFonts w:eastAsiaTheme="minorEastAsia"/>
          <w:color w:val="000000" w:themeColor="text1"/>
          <w:kern w:val="24"/>
        </w:rPr>
        <w:t>Transition to BSN Practice</w:t>
      </w:r>
    </w:p>
    <w:p w14:paraId="05CC80DA" w14:textId="77777777" w:rsidR="00687C78" w:rsidRPr="00B452F1" w:rsidRDefault="00687C78" w:rsidP="00D17400">
      <w:pPr>
        <w:spacing w:before="200" w:line="480" w:lineRule="auto"/>
        <w:jc w:val="center"/>
        <w:rPr>
          <w:rFonts w:eastAsiaTheme="minorEastAsia"/>
          <w:color w:val="000000" w:themeColor="text1"/>
          <w:kern w:val="24"/>
        </w:rPr>
      </w:pPr>
      <w:r w:rsidRPr="00B452F1">
        <w:rPr>
          <w:rFonts w:eastAsiaTheme="minorEastAsia"/>
          <w:color w:val="000000" w:themeColor="text1"/>
          <w:kern w:val="24"/>
        </w:rPr>
        <w:t>Luis Becerra MSN, RN</w:t>
      </w:r>
    </w:p>
    <w:p w14:paraId="14F60634" w14:textId="4B2CBEFE" w:rsidR="00473C02" w:rsidRPr="00B452F1" w:rsidRDefault="00687C78" w:rsidP="00D17400">
      <w:pPr>
        <w:spacing w:line="480" w:lineRule="auto"/>
        <w:jc w:val="center"/>
        <w:rPr>
          <w:color w:val="000000"/>
          <w:shd w:val="clear" w:color="auto" w:fill="FFFFFF"/>
        </w:rPr>
      </w:pPr>
      <w:r w:rsidRPr="00B452F1">
        <w:rPr>
          <w:color w:val="000000"/>
          <w:shd w:val="clear" w:color="auto" w:fill="FFFFFF"/>
        </w:rPr>
        <w:t>June 2</w:t>
      </w:r>
      <w:r w:rsidR="009F127C" w:rsidRPr="00B452F1">
        <w:rPr>
          <w:color w:val="000000"/>
          <w:shd w:val="clear" w:color="auto" w:fill="FFFFFF"/>
        </w:rPr>
        <w:t>2</w:t>
      </w:r>
      <w:r w:rsidRPr="00B452F1">
        <w:rPr>
          <w:color w:val="000000"/>
          <w:shd w:val="clear" w:color="auto" w:fill="FFFFFF"/>
        </w:rPr>
        <w:t>, 2024</w:t>
      </w:r>
    </w:p>
    <w:p w14:paraId="3DCB7F91" w14:textId="77777777" w:rsidR="00687C78" w:rsidRPr="00B452F1" w:rsidRDefault="00687C78" w:rsidP="00D17400">
      <w:pPr>
        <w:spacing w:line="480" w:lineRule="auto"/>
        <w:jc w:val="center"/>
        <w:rPr>
          <w:color w:val="000000"/>
          <w:shd w:val="clear" w:color="auto" w:fill="FFFFFF"/>
        </w:rPr>
      </w:pPr>
    </w:p>
    <w:p w14:paraId="1B8B309E" w14:textId="77777777" w:rsidR="00687C78" w:rsidRPr="00B452F1" w:rsidRDefault="00687C78" w:rsidP="00D17400">
      <w:pPr>
        <w:spacing w:line="480" w:lineRule="auto"/>
        <w:jc w:val="center"/>
        <w:rPr>
          <w:color w:val="000000"/>
          <w:shd w:val="clear" w:color="auto" w:fill="FFFFFF"/>
        </w:rPr>
      </w:pPr>
    </w:p>
    <w:p w14:paraId="1426A778" w14:textId="77777777" w:rsidR="00687C78" w:rsidRPr="00B452F1" w:rsidRDefault="00687C78" w:rsidP="00D17400">
      <w:pPr>
        <w:spacing w:line="480" w:lineRule="auto"/>
        <w:jc w:val="center"/>
        <w:rPr>
          <w:color w:val="000000"/>
          <w:shd w:val="clear" w:color="auto" w:fill="FFFFFF"/>
        </w:rPr>
      </w:pPr>
    </w:p>
    <w:p w14:paraId="7699E44E" w14:textId="77777777" w:rsidR="00687C78" w:rsidRPr="00B452F1" w:rsidRDefault="00687C78" w:rsidP="00D17400">
      <w:pPr>
        <w:spacing w:line="480" w:lineRule="auto"/>
        <w:jc w:val="center"/>
        <w:rPr>
          <w:color w:val="000000"/>
          <w:shd w:val="clear" w:color="auto" w:fill="FFFFFF"/>
        </w:rPr>
      </w:pPr>
    </w:p>
    <w:p w14:paraId="73A3E7D9" w14:textId="77777777" w:rsidR="00687C78" w:rsidRPr="00B452F1" w:rsidRDefault="00687C78" w:rsidP="00D17400">
      <w:pPr>
        <w:spacing w:line="480" w:lineRule="auto"/>
        <w:jc w:val="center"/>
        <w:rPr>
          <w:color w:val="000000"/>
          <w:shd w:val="clear" w:color="auto" w:fill="FFFFFF"/>
        </w:rPr>
      </w:pPr>
    </w:p>
    <w:p w14:paraId="607D1304" w14:textId="77777777" w:rsidR="00687C78" w:rsidRPr="00B452F1" w:rsidRDefault="00687C78" w:rsidP="00D17400">
      <w:pPr>
        <w:spacing w:line="480" w:lineRule="auto"/>
        <w:jc w:val="center"/>
        <w:rPr>
          <w:color w:val="000000"/>
          <w:shd w:val="clear" w:color="auto" w:fill="FFFFFF"/>
        </w:rPr>
      </w:pPr>
    </w:p>
    <w:p w14:paraId="359531EB" w14:textId="77777777" w:rsidR="00687C78" w:rsidRPr="00B452F1" w:rsidRDefault="00687C78" w:rsidP="00D17400">
      <w:pPr>
        <w:spacing w:line="480" w:lineRule="auto"/>
        <w:jc w:val="center"/>
        <w:rPr>
          <w:color w:val="000000"/>
          <w:shd w:val="clear" w:color="auto" w:fill="FFFFFF"/>
        </w:rPr>
      </w:pPr>
    </w:p>
    <w:p w14:paraId="61A9EE96" w14:textId="77777777" w:rsidR="00687C78" w:rsidRPr="00B452F1" w:rsidRDefault="00687C78" w:rsidP="00D17400">
      <w:pPr>
        <w:spacing w:line="480" w:lineRule="auto"/>
        <w:jc w:val="center"/>
        <w:rPr>
          <w:color w:val="000000"/>
          <w:shd w:val="clear" w:color="auto" w:fill="FFFFFF"/>
        </w:rPr>
      </w:pPr>
    </w:p>
    <w:p w14:paraId="6A71F195" w14:textId="77777777" w:rsidR="00687C78" w:rsidRPr="00B452F1" w:rsidRDefault="00687C78" w:rsidP="00D17400">
      <w:pPr>
        <w:spacing w:line="480" w:lineRule="auto"/>
        <w:jc w:val="center"/>
        <w:rPr>
          <w:color w:val="000000"/>
          <w:shd w:val="clear" w:color="auto" w:fill="FFFFFF"/>
        </w:rPr>
      </w:pPr>
    </w:p>
    <w:p w14:paraId="35EA15A4" w14:textId="77777777" w:rsidR="00687C78" w:rsidRPr="00B452F1" w:rsidRDefault="00687C78" w:rsidP="00D17400">
      <w:pPr>
        <w:spacing w:line="480" w:lineRule="auto"/>
        <w:jc w:val="center"/>
        <w:rPr>
          <w:color w:val="000000"/>
          <w:shd w:val="clear" w:color="auto" w:fill="FFFFFF"/>
        </w:rPr>
      </w:pPr>
    </w:p>
    <w:p w14:paraId="538B9A72" w14:textId="77777777" w:rsidR="00687C78" w:rsidRPr="00B452F1" w:rsidRDefault="00687C78" w:rsidP="00D17400">
      <w:pPr>
        <w:spacing w:line="480" w:lineRule="auto"/>
        <w:jc w:val="center"/>
        <w:rPr>
          <w:color w:val="000000"/>
          <w:shd w:val="clear" w:color="auto" w:fill="FFFFFF"/>
        </w:rPr>
      </w:pPr>
    </w:p>
    <w:p w14:paraId="749359BB" w14:textId="77777777" w:rsidR="00687C78" w:rsidRPr="00B452F1" w:rsidRDefault="00687C78" w:rsidP="00D17400">
      <w:pPr>
        <w:spacing w:line="480" w:lineRule="auto"/>
        <w:jc w:val="center"/>
        <w:rPr>
          <w:color w:val="000000"/>
          <w:shd w:val="clear" w:color="auto" w:fill="FFFFFF"/>
        </w:rPr>
      </w:pPr>
    </w:p>
    <w:p w14:paraId="40B84E1B" w14:textId="77777777" w:rsidR="00687C78" w:rsidRPr="00B452F1" w:rsidRDefault="00687C78" w:rsidP="00D17400">
      <w:pPr>
        <w:spacing w:line="480" w:lineRule="auto"/>
        <w:jc w:val="center"/>
        <w:rPr>
          <w:color w:val="000000"/>
          <w:shd w:val="clear" w:color="auto" w:fill="FFFFFF"/>
        </w:rPr>
      </w:pPr>
    </w:p>
    <w:p w14:paraId="5BCD771C" w14:textId="7D1F6AA4" w:rsidR="00687C78" w:rsidRPr="00B452F1" w:rsidRDefault="00687C78" w:rsidP="00E62F94">
      <w:pPr>
        <w:spacing w:line="480" w:lineRule="auto"/>
        <w:jc w:val="center"/>
        <w:rPr>
          <w:b/>
        </w:rPr>
      </w:pPr>
      <w:r w:rsidRPr="00B452F1">
        <w:rPr>
          <w:b/>
        </w:rPr>
        <w:t xml:space="preserve">Prevention/Intervention of </w:t>
      </w:r>
      <w:bookmarkStart w:id="0" w:name="_Hlk170270657"/>
      <w:r w:rsidRPr="00B452F1">
        <w:rPr>
          <w:b/>
        </w:rPr>
        <w:t>Central Line Associated Bloodstream Infection (CLABSI)</w:t>
      </w:r>
      <w:bookmarkEnd w:id="0"/>
    </w:p>
    <w:p w14:paraId="048F9821" w14:textId="2C5085F9" w:rsidR="00687C78" w:rsidRPr="00B452F1" w:rsidRDefault="00A27373" w:rsidP="00094EEB">
      <w:pPr>
        <w:spacing w:line="480" w:lineRule="auto"/>
        <w:ind w:firstLine="720"/>
        <w:jc w:val="both"/>
      </w:pPr>
      <w:r w:rsidRPr="00B452F1">
        <w:t xml:space="preserve">The best intervention for CLABSI is prevention. </w:t>
      </w:r>
      <w:r w:rsidR="0099683E" w:rsidRPr="00B452F1">
        <w:t xml:space="preserve">The best way to reduce the rate of CLABSI in hospitalized </w:t>
      </w:r>
      <w:r w:rsidR="00B057F4" w:rsidRPr="00B452F1">
        <w:t>patients</w:t>
      </w:r>
      <w:r w:rsidR="0099683E" w:rsidRPr="00B452F1">
        <w:t xml:space="preserve"> is through prevention. </w:t>
      </w:r>
      <w:r w:rsidR="00503FDE" w:rsidRPr="00B452F1">
        <w:t xml:space="preserve">Central line associated bloodstream infection (CLABSI) is indicated when a positive blood culture is obtained from a patient who has a central line. </w:t>
      </w:r>
      <w:r w:rsidR="00687C78" w:rsidRPr="00B452F1">
        <w:t>A central line-associated bloodstream infection (CLABSI) is defined as the recover</w:t>
      </w:r>
      <w:r w:rsidR="00B224A8" w:rsidRPr="00B452F1">
        <w:t>ing</w:t>
      </w:r>
      <w:r w:rsidR="00687C78" w:rsidRPr="00B452F1">
        <w:t xml:space="preserve"> of a pathogen from a blood culture in a patient who had a central line at the time of infection or within 48 hours before the development of infection (Haddadin et al., 2022).</w:t>
      </w:r>
      <w:r w:rsidR="00503FDE" w:rsidRPr="00B452F1">
        <w:t xml:space="preserve"> Most central lines are seen on patients in the intensive care units (ICU) or a stepdown unit. Sometime, central lines can be found in patients who are receiving life sustaining intravenous treatment. Some </w:t>
      </w:r>
      <w:r w:rsidR="00094EEB" w:rsidRPr="00B452F1">
        <w:t xml:space="preserve">central line stays in a person for years, some for a period of antibiotic treatment course, while some </w:t>
      </w:r>
      <w:r w:rsidR="003E4282" w:rsidRPr="00B452F1">
        <w:t xml:space="preserve">are </w:t>
      </w:r>
      <w:r w:rsidR="00503FDE" w:rsidRPr="00B452F1">
        <w:t xml:space="preserve">found on </w:t>
      </w:r>
      <w:r w:rsidR="00094EEB" w:rsidRPr="00B452F1">
        <w:t xml:space="preserve">the </w:t>
      </w:r>
      <w:r w:rsidR="00503FDE" w:rsidRPr="00B452F1">
        <w:t>critical care units in a hospital setting</w:t>
      </w:r>
      <w:r w:rsidR="00094EEB" w:rsidRPr="00B452F1">
        <w:t>.</w:t>
      </w:r>
    </w:p>
    <w:p w14:paraId="4018F0D0" w14:textId="454C66BD" w:rsidR="00094EEB" w:rsidRPr="00B452F1" w:rsidRDefault="00094EEB" w:rsidP="00094EEB">
      <w:pPr>
        <w:spacing w:line="480" w:lineRule="auto"/>
        <w:ind w:firstLine="720"/>
        <w:jc w:val="both"/>
      </w:pPr>
      <w:r w:rsidRPr="00B452F1">
        <w:t>This paper discusses CLA</w:t>
      </w:r>
      <w:r w:rsidR="0099683E" w:rsidRPr="00B452F1">
        <w:t>B</w:t>
      </w:r>
      <w:r w:rsidRPr="00B452F1">
        <w:t xml:space="preserve">SI on a stepdown unit in a hospital setting. A unit of about eighteen beds, and nurse to patient ratio of five to one (5:1) maximum. Eighty-five percent (85%) </w:t>
      </w:r>
      <w:r w:rsidR="00F41AD6" w:rsidRPr="00B452F1">
        <w:t>of the</w:t>
      </w:r>
      <w:r w:rsidRPr="00B452F1">
        <w:t xml:space="preserve"> time, nurses work with no patient care assistants (PCA). The issue of CLABSI is not shift specific because everyone/nurses who care for the patient with a central line is responsible for </w:t>
      </w:r>
      <w:r w:rsidR="00CB2301" w:rsidRPr="00B452F1">
        <w:t xml:space="preserve">prevention and intervention of CLABSI. To be shift specific as it relates to the requirement for this paper, night shift is the shift of choice for this paper. </w:t>
      </w:r>
      <w:r w:rsidR="00E62F94" w:rsidRPr="00B452F1">
        <w:t>In discussing CLABSI prevention, one must understand what CLABSIs are and what type of central lines expose a patient to those pathogens.</w:t>
      </w:r>
    </w:p>
    <w:p w14:paraId="0333F121" w14:textId="32E2C34C" w:rsidR="00E62F94" w:rsidRPr="00B452F1" w:rsidRDefault="00E62F94" w:rsidP="00E62F94">
      <w:pPr>
        <w:spacing w:line="480" w:lineRule="auto"/>
        <w:ind w:firstLine="720"/>
        <w:jc w:val="center"/>
        <w:rPr>
          <w:b/>
          <w:bCs/>
        </w:rPr>
      </w:pPr>
      <w:r w:rsidRPr="00B452F1">
        <w:rPr>
          <w:b/>
          <w:bCs/>
        </w:rPr>
        <w:t xml:space="preserve">Central </w:t>
      </w:r>
      <w:r w:rsidR="005F39EE" w:rsidRPr="00B452F1">
        <w:rPr>
          <w:b/>
          <w:bCs/>
        </w:rPr>
        <w:t xml:space="preserve">Venous </w:t>
      </w:r>
      <w:r w:rsidRPr="00B452F1">
        <w:rPr>
          <w:b/>
          <w:bCs/>
        </w:rPr>
        <w:t>Lines</w:t>
      </w:r>
      <w:r w:rsidR="005F39EE" w:rsidRPr="00B452F1">
        <w:rPr>
          <w:b/>
          <w:bCs/>
        </w:rPr>
        <w:t xml:space="preserve"> (CVL)</w:t>
      </w:r>
    </w:p>
    <w:p w14:paraId="7074EE27" w14:textId="3E5BEAFC" w:rsidR="008C66BD" w:rsidRPr="00B452F1" w:rsidRDefault="008C66BD" w:rsidP="00EA31FE">
      <w:pPr>
        <w:spacing w:line="480" w:lineRule="auto"/>
        <w:ind w:firstLine="720"/>
        <w:jc w:val="both"/>
      </w:pPr>
      <w:r w:rsidRPr="00B452F1">
        <w:t xml:space="preserve">Central </w:t>
      </w:r>
      <w:r w:rsidR="005F39EE" w:rsidRPr="00B452F1">
        <w:t xml:space="preserve">venous </w:t>
      </w:r>
      <w:r w:rsidRPr="00B452F1">
        <w:t xml:space="preserve">Lines are surgically inserted </w:t>
      </w:r>
      <w:r w:rsidR="005F39EE" w:rsidRPr="00B452F1">
        <w:t xml:space="preserve">venous device to create an access for intravenous treatment. The insertion of CVL is indicated for patients in critical phase of their treatment or patient getting a long-term antibiotic treatment. Central venous lines are indicated </w:t>
      </w:r>
      <w:r w:rsidR="005F39EE" w:rsidRPr="00B452F1">
        <w:lastRenderedPageBreak/>
        <w:t xml:space="preserve">when it is necessary to ensure that proper route of treatment is utilized. The type of line is determined by the type of intended treatment. The three major CVLs are peripherally inserted </w:t>
      </w:r>
      <w:r w:rsidR="00A023C5" w:rsidRPr="00B452F1">
        <w:t>central</w:t>
      </w:r>
      <w:r w:rsidR="005F39EE" w:rsidRPr="00B452F1">
        <w:t xml:space="preserve"> catheter (PICC), </w:t>
      </w:r>
      <w:r w:rsidR="00C12D3F" w:rsidRPr="00B452F1">
        <w:t>tunneled hemodialysis catheter or tunneled dialysis catheter (TDC), and an implanted port. Among the three CVL</w:t>
      </w:r>
      <w:r w:rsidR="003E4282" w:rsidRPr="00B452F1">
        <w:t>s</w:t>
      </w:r>
      <w:r w:rsidR="00C12D3F" w:rsidRPr="00B452F1">
        <w:t xml:space="preserve">, PICC is the </w:t>
      </w:r>
      <w:r w:rsidR="003E4282" w:rsidRPr="00B452F1">
        <w:t>most used</w:t>
      </w:r>
      <w:r w:rsidR="00AE5D49" w:rsidRPr="00B452F1">
        <w:t xml:space="preserve"> in hospitalized patients. These three devise</w:t>
      </w:r>
      <w:r w:rsidR="003E4282" w:rsidRPr="00B452F1">
        <w:t>s</w:t>
      </w:r>
      <w:r w:rsidR="00AE5D49" w:rsidRPr="00B452F1">
        <w:t xml:space="preserve"> have preferred insertion sites that range from chest, lateral abdomen, internal jugular, subclavian, femoral, and is advanced until the terminal lumen settles within the inferior vena cava, superior vena cava, or right atrium (Kolikof et al</w:t>
      </w:r>
      <w:r w:rsidR="00EA31FE" w:rsidRPr="00B452F1">
        <w:t>., 2023)</w:t>
      </w:r>
      <w:r w:rsidR="00AE5D49" w:rsidRPr="00B452F1">
        <w:t xml:space="preserve">. </w:t>
      </w:r>
      <w:r w:rsidR="00EA31FE" w:rsidRPr="00B452F1">
        <w:t>The type of CVL and the insertion site contributes to the risk level, and rate of CLABSI.</w:t>
      </w:r>
    </w:p>
    <w:p w14:paraId="47FFC9DF" w14:textId="67FE2A38" w:rsidR="00687C78" w:rsidRPr="00B452F1" w:rsidRDefault="00EA31FE" w:rsidP="0099683E">
      <w:pPr>
        <w:spacing w:line="480" w:lineRule="auto"/>
        <w:ind w:firstLine="720"/>
        <w:jc w:val="center"/>
        <w:rPr>
          <w:b/>
        </w:rPr>
      </w:pPr>
      <w:r w:rsidRPr="00B452F1">
        <w:rPr>
          <w:b/>
        </w:rPr>
        <w:t>Central Line Associated Bloodstream Infection (CLABSI)</w:t>
      </w:r>
    </w:p>
    <w:p w14:paraId="0A0A1196" w14:textId="6FED43B8" w:rsidR="00AB6245" w:rsidRPr="00B452F1" w:rsidRDefault="00AB6245" w:rsidP="00AB6245">
      <w:pPr>
        <w:spacing w:line="480" w:lineRule="auto"/>
      </w:pPr>
      <w:r w:rsidRPr="00B452F1">
        <w:rPr>
          <w:b/>
        </w:rPr>
        <w:t>What is CLA</w:t>
      </w:r>
      <w:r w:rsidR="003C6A3B" w:rsidRPr="00B452F1">
        <w:rPr>
          <w:b/>
        </w:rPr>
        <w:t>B</w:t>
      </w:r>
      <w:r w:rsidRPr="00B452F1">
        <w:rPr>
          <w:b/>
        </w:rPr>
        <w:t>SI</w:t>
      </w:r>
    </w:p>
    <w:p w14:paraId="42423331" w14:textId="19F8E460" w:rsidR="00C30F25" w:rsidRPr="00B452F1" w:rsidRDefault="0099683E" w:rsidP="00DC2BE6">
      <w:pPr>
        <w:spacing w:line="480" w:lineRule="auto"/>
        <w:ind w:firstLine="720"/>
        <w:jc w:val="both"/>
      </w:pPr>
      <w:r w:rsidRPr="00B452F1">
        <w:t xml:space="preserve"> The </w:t>
      </w:r>
      <w:r w:rsidR="006E3F22" w:rsidRPr="00B452F1">
        <w:t>prevention and</w:t>
      </w:r>
      <w:r w:rsidRPr="00B452F1">
        <w:t xml:space="preserve"> intervention of CLABSI starts with understanding what CL</w:t>
      </w:r>
      <w:r w:rsidR="00142561" w:rsidRPr="00B452F1">
        <w:t>A</w:t>
      </w:r>
      <w:r w:rsidRPr="00B452F1">
        <w:t xml:space="preserve">BSI is, </w:t>
      </w:r>
      <w:r w:rsidR="00094C41" w:rsidRPr="00B452F1">
        <w:t>contributing factors</w:t>
      </w:r>
      <w:r w:rsidRPr="00B452F1">
        <w:t xml:space="preserve">, </w:t>
      </w:r>
      <w:r w:rsidR="00094C41" w:rsidRPr="00B452F1">
        <w:t>prevalence</w:t>
      </w:r>
      <w:r w:rsidRPr="00B452F1">
        <w:t xml:space="preserve">, </w:t>
      </w:r>
      <w:r w:rsidR="00094C41" w:rsidRPr="00B452F1">
        <w:t>and its significance.</w:t>
      </w:r>
      <w:r w:rsidR="006E3F22" w:rsidRPr="00B452F1">
        <w:t xml:space="preserve"> </w:t>
      </w:r>
      <w:r w:rsidR="003C6A3B" w:rsidRPr="00B452F1">
        <w:t>CLABSI is an infection of the bloodstream caused by pathogenic organism</w:t>
      </w:r>
      <w:r w:rsidR="00DE33DC" w:rsidRPr="00B452F1">
        <w:t>s</w:t>
      </w:r>
      <w:r w:rsidR="003C6A3B" w:rsidRPr="00B452F1">
        <w:t>. The following are the CLABSI causing organisms and their percentages based on the National Healthcare Safety Network (NHSN) data</w:t>
      </w:r>
      <w:r w:rsidR="00530348" w:rsidRPr="00B452F1">
        <w:t xml:space="preserve">, </w:t>
      </w:r>
      <w:r w:rsidR="002D51BF" w:rsidRPr="00B452F1">
        <w:t xml:space="preserve">the most common </w:t>
      </w:r>
      <w:r w:rsidR="00530348" w:rsidRPr="00B452F1">
        <w:t>pathogens associated with causing CLABSI are Gram-positive organisms</w:t>
      </w:r>
      <w:r w:rsidR="002D51BF" w:rsidRPr="00B452F1">
        <w:t xml:space="preserve"> (coagulase-negative staphylococci 34.1%; enterococci 16%; and staphylococcus aureus 9.9%), while the gram-negatives</w:t>
      </w:r>
      <w:r w:rsidR="00DE33DC" w:rsidRPr="00B452F1">
        <w:t xml:space="preserve"> </w:t>
      </w:r>
      <w:r w:rsidR="002D51BF" w:rsidRPr="00B452F1">
        <w:t>are (klebsiella 5.8%;</w:t>
      </w:r>
      <w:r w:rsidR="00094C41" w:rsidRPr="00B452F1">
        <w:t xml:space="preserve"> </w:t>
      </w:r>
      <w:r w:rsidR="002D51BF" w:rsidRPr="00B452F1">
        <w:t>Enterobacter 3.9%; pseudomonas 3.1%; E.coli 2,7%; Acinetobacter 2.2%), candida species 11.8%, and others pathogens make up 10.5% (Haddadin et al., 2022).</w:t>
      </w:r>
      <w:r w:rsidR="002C3A19" w:rsidRPr="00B452F1">
        <w:t xml:space="preserve"> The</w:t>
      </w:r>
    </w:p>
    <w:p w14:paraId="658A4C78" w14:textId="2D028417" w:rsidR="00AB6245" w:rsidRPr="00B452F1" w:rsidRDefault="00F60652" w:rsidP="00AB6245">
      <w:pPr>
        <w:spacing w:line="480" w:lineRule="auto"/>
        <w:rPr>
          <w:b/>
          <w:bCs/>
        </w:rPr>
      </w:pPr>
      <w:r w:rsidRPr="00B452F1">
        <w:rPr>
          <w:b/>
          <w:bCs/>
        </w:rPr>
        <w:t xml:space="preserve">Prevalence </w:t>
      </w:r>
      <w:r w:rsidR="00DC2BE6" w:rsidRPr="00B452F1">
        <w:rPr>
          <w:b/>
          <w:bCs/>
        </w:rPr>
        <w:t>and significance of CLABSI</w:t>
      </w:r>
    </w:p>
    <w:p w14:paraId="76DCC687" w14:textId="11535336" w:rsidR="00927823" w:rsidRPr="00B452F1" w:rsidRDefault="00A023C5" w:rsidP="00927823">
      <w:pPr>
        <w:spacing w:line="480" w:lineRule="auto"/>
        <w:ind w:firstLine="720"/>
        <w:jc w:val="both"/>
      </w:pPr>
      <w:r w:rsidRPr="00B452F1">
        <w:t xml:space="preserve">The prevalence and significance of CLABSI cannot be underestimated. In a study on </w:t>
      </w:r>
      <w:r w:rsidR="00664DC2" w:rsidRPr="00B452F1">
        <w:t>patients</w:t>
      </w:r>
      <w:r w:rsidRPr="00B452F1">
        <w:t xml:space="preserve"> receiving some hazardous medicine through PICC alone, 25 (5.2%) </w:t>
      </w:r>
      <w:r w:rsidR="00664DC2" w:rsidRPr="00B452F1">
        <w:t>of 539</w:t>
      </w:r>
      <w:r w:rsidRPr="00B452F1">
        <w:t xml:space="preserve"> PICC in 484 patients </w:t>
      </w:r>
      <w:r w:rsidR="00664DC2" w:rsidRPr="00B452F1">
        <w:t xml:space="preserve">were positive for CLABSI with nine months (Lee et al., 2020).  Another study on CLABSI </w:t>
      </w:r>
      <w:r w:rsidR="00664DC2" w:rsidRPr="00B452F1">
        <w:lastRenderedPageBreak/>
        <w:t xml:space="preserve">estimated </w:t>
      </w:r>
      <w:r w:rsidR="00DE33DC" w:rsidRPr="00B452F1">
        <w:t>that 250,000</w:t>
      </w:r>
      <w:r w:rsidR="00664DC2" w:rsidRPr="00B452F1">
        <w:t xml:space="preserve"> bloodstream infections occur annually, and most are related to the presence of intravascular devices. In the United States, the CLABSI rate in intensive care units (ICU) is estimated to be 0.8 per 1000 central line days (Haddadin et al., 2022).</w:t>
      </w:r>
      <w:r w:rsidR="00275A94" w:rsidRPr="00B452F1">
        <w:t xml:space="preserve"> CLABSI significantly affects the health of patients by increasing length of hospitalization, increase cost, and </w:t>
      </w:r>
      <w:r w:rsidR="00DE33DC" w:rsidRPr="00B452F1">
        <w:t xml:space="preserve">in </w:t>
      </w:r>
      <w:r w:rsidR="00275A94" w:rsidRPr="00B452F1">
        <w:t xml:space="preserve">some cases deadly. </w:t>
      </w:r>
      <w:r w:rsidR="00927823" w:rsidRPr="00B452F1">
        <w:t xml:space="preserve">A prolonged hospital stay places a patient on higher risks of hospital acquired infection, muscle and bone weakness, stress, all which can contribute to delayed healing. </w:t>
      </w:r>
    </w:p>
    <w:p w14:paraId="2833793C" w14:textId="02419C30" w:rsidR="00AB6245" w:rsidRPr="00B452F1" w:rsidRDefault="00275A94" w:rsidP="00FC2266">
      <w:pPr>
        <w:spacing w:line="480" w:lineRule="auto"/>
        <w:ind w:firstLine="720"/>
        <w:jc w:val="both"/>
      </w:pPr>
      <w:r w:rsidRPr="00B452F1">
        <w:t xml:space="preserve">In a study by Toor et al., (2022), CLABSIs carry a mortality rate of 12%-15% and an odds ratio of in-hospital death is as high as 2.75. It has both medical and economic impact </w:t>
      </w:r>
      <w:r w:rsidR="00927823" w:rsidRPr="00B452F1">
        <w:t xml:space="preserve">on both patients and the hospitals. LABSIs are also associated with increased length of hospital stay and increased healthcare cost with each case accounting for approximately $46,000 </w:t>
      </w:r>
      <w:r w:rsidR="00FC2266" w:rsidRPr="00B452F1">
        <w:t>(Toor</w:t>
      </w:r>
      <w:r w:rsidR="00927823" w:rsidRPr="00B452F1">
        <w:t xml:space="preserve"> et al., </w:t>
      </w:r>
      <w:r w:rsidR="00FC2266" w:rsidRPr="00B452F1">
        <w:t>2022).</w:t>
      </w:r>
    </w:p>
    <w:p w14:paraId="04592476" w14:textId="2061EDB6" w:rsidR="00FC2266" w:rsidRPr="00B452F1" w:rsidRDefault="00FC2266" w:rsidP="00FC2266">
      <w:pPr>
        <w:spacing w:line="480" w:lineRule="auto"/>
        <w:jc w:val="both"/>
      </w:pPr>
      <w:r w:rsidRPr="00B452F1">
        <w:t xml:space="preserve">In the cases of CLABSI, more resources are utilized, more labs and diagnostic procedures are needed, and these exert extra cost of patients and hospitals. Patients require extra care and attention. The care team (nurse, physicians, PCAs) and </w:t>
      </w:r>
      <w:r w:rsidR="00D76545" w:rsidRPr="00B452F1">
        <w:t>other</w:t>
      </w:r>
      <w:r w:rsidRPr="00B452F1">
        <w:t xml:space="preserve"> teams involved in the patient’s care a burdened with workload</w:t>
      </w:r>
      <w:r w:rsidR="00D76545" w:rsidRPr="00B452F1">
        <w:t>. Stressful assignments</w:t>
      </w:r>
      <w:r w:rsidRPr="00B452F1">
        <w:t xml:space="preserve"> may affect</w:t>
      </w:r>
      <w:r w:rsidR="00D76545" w:rsidRPr="00B452F1">
        <w:t xml:space="preserve"> details to care, efficacy, and</w:t>
      </w:r>
      <w:r w:rsidRPr="00B452F1">
        <w:t xml:space="preserve"> </w:t>
      </w:r>
      <w:r w:rsidR="00D76545" w:rsidRPr="00B452F1">
        <w:t xml:space="preserve">the </w:t>
      </w:r>
      <w:r w:rsidRPr="00B452F1">
        <w:t>effectiveness</w:t>
      </w:r>
      <w:r w:rsidR="00D76545" w:rsidRPr="00B452F1">
        <w:t xml:space="preserve"> of care provided, which also increases the risk for CLABSI.</w:t>
      </w:r>
    </w:p>
    <w:p w14:paraId="5D2273FD" w14:textId="67E91FEE" w:rsidR="00DC2BE6" w:rsidRPr="00B452F1" w:rsidRDefault="00DC2BE6" w:rsidP="00874EB1">
      <w:pPr>
        <w:spacing w:line="480" w:lineRule="auto"/>
        <w:rPr>
          <w:b/>
          <w:bCs/>
        </w:rPr>
      </w:pPr>
      <w:r w:rsidRPr="00B452F1">
        <w:rPr>
          <w:b/>
          <w:bCs/>
        </w:rPr>
        <w:t xml:space="preserve">Risk/Contributing Factors </w:t>
      </w:r>
      <w:r w:rsidR="00D76545" w:rsidRPr="00B452F1">
        <w:rPr>
          <w:b/>
          <w:bCs/>
        </w:rPr>
        <w:t>t</w:t>
      </w:r>
      <w:r w:rsidRPr="00B452F1">
        <w:rPr>
          <w:b/>
          <w:bCs/>
        </w:rPr>
        <w:t>o CLABSI</w:t>
      </w:r>
    </w:p>
    <w:p w14:paraId="039DB233" w14:textId="6136E662" w:rsidR="009F127C" w:rsidRPr="00B452F1" w:rsidRDefault="00DC2BE6" w:rsidP="009F127C">
      <w:pPr>
        <w:spacing w:line="480" w:lineRule="auto"/>
        <w:ind w:firstLine="720"/>
        <w:jc w:val="both"/>
      </w:pPr>
      <w:r w:rsidRPr="00B452F1">
        <w:t xml:space="preserve">Central </w:t>
      </w:r>
      <w:r w:rsidR="00DE33DC" w:rsidRPr="00B452F1">
        <w:t>lines are</w:t>
      </w:r>
      <w:r w:rsidRPr="00B452F1">
        <w:t xml:space="preserve"> essential device</w:t>
      </w:r>
      <w:r w:rsidR="00DE33DC" w:rsidRPr="00B452F1">
        <w:t>s</w:t>
      </w:r>
      <w:r w:rsidRPr="00B452F1">
        <w:t xml:space="preserve"> for some hospitalized patients</w:t>
      </w:r>
      <w:r w:rsidR="00DE33DC" w:rsidRPr="00B452F1">
        <w:t>. Indicates</w:t>
      </w:r>
      <w:r w:rsidRPr="00B452F1">
        <w:t xml:space="preserve"> based on the type of medication, and treatment a patient is receiving, and diagnosis of the patient. When a central venous line is inserted in a patient, the risk of getting a bloodstream infection increases. Some patients are hemodynamically unstable and are prone to pathogen invasion, having a CV</w:t>
      </w:r>
      <w:r w:rsidR="00142561" w:rsidRPr="00B452F1">
        <w:t>L</w:t>
      </w:r>
      <w:r w:rsidRPr="00B452F1">
        <w:t xml:space="preserve"> is a greater risk factor. There are many contributing factors to CLABSI, and they include but not limited to patients receiving chemotherapy; total parenteral nutrition (TPN); Immunocompromised </w:t>
      </w:r>
      <w:r w:rsidRPr="00B452F1">
        <w:lastRenderedPageBreak/>
        <w:t>patients; patients with kidney disease, diabetes mellitus; multiple lumen CV</w:t>
      </w:r>
      <w:r w:rsidR="00142561" w:rsidRPr="00B452F1">
        <w:t>L</w:t>
      </w:r>
      <w:r w:rsidRPr="00B452F1">
        <w:t xml:space="preserve">, long-term catheter uses and more. </w:t>
      </w:r>
      <w:r w:rsidR="00DE33DC" w:rsidRPr="00B452F1">
        <w:t>So, some practices are necessary to protect patients with CLV.</w:t>
      </w:r>
    </w:p>
    <w:p w14:paraId="564B84C5" w14:textId="068DDF9E" w:rsidR="00AB6245" w:rsidRPr="00B452F1" w:rsidRDefault="0072291B" w:rsidP="009F127C">
      <w:pPr>
        <w:spacing w:line="480" w:lineRule="auto"/>
        <w:ind w:firstLine="720"/>
        <w:jc w:val="center"/>
        <w:rPr>
          <w:b/>
          <w:bCs/>
        </w:rPr>
      </w:pPr>
      <w:r w:rsidRPr="00B452F1">
        <w:rPr>
          <w:b/>
          <w:bCs/>
        </w:rPr>
        <w:t>Current Clinical Practice</w:t>
      </w:r>
    </w:p>
    <w:p w14:paraId="14600FB6" w14:textId="77FE8829" w:rsidR="008E3614" w:rsidRPr="00B452F1" w:rsidRDefault="00700FCF" w:rsidP="004448C8">
      <w:pPr>
        <w:spacing w:line="480" w:lineRule="auto"/>
        <w:ind w:firstLine="720"/>
        <w:jc w:val="both"/>
      </w:pPr>
      <w:r w:rsidRPr="00B452F1">
        <w:t xml:space="preserve">In the health care organization where I work, there is currently a policy on the care of central venous </w:t>
      </w:r>
      <w:r w:rsidR="00142561" w:rsidRPr="00B452F1">
        <w:t>lines</w:t>
      </w:r>
      <w:r w:rsidRPr="00B452F1">
        <w:t xml:space="preserve"> (CV</w:t>
      </w:r>
      <w:r w:rsidR="00142561" w:rsidRPr="00B452F1">
        <w:t>L</w:t>
      </w:r>
      <w:r w:rsidRPr="00B452F1">
        <w:t xml:space="preserve">). The standard policy is proper hand hygiene, line dressing </w:t>
      </w:r>
      <w:r w:rsidR="004448C8" w:rsidRPr="00B452F1">
        <w:t>changes</w:t>
      </w:r>
      <w:r w:rsidRPr="00B452F1">
        <w:t xml:space="preserve"> every seven days, and the use </w:t>
      </w:r>
      <w:r w:rsidR="004448C8" w:rsidRPr="00B452F1">
        <w:t>of 2</w:t>
      </w:r>
      <w:r w:rsidRPr="00B452F1">
        <w:t>% Chlorhexidine gluconate wipe to clean patients (CHG bath) with CV</w:t>
      </w:r>
      <w:r w:rsidR="00142561" w:rsidRPr="00B452F1">
        <w:t>L</w:t>
      </w:r>
      <w:r w:rsidRPr="00B452F1">
        <w:t>. This is what is expected of the nurses, PC</w:t>
      </w:r>
      <w:r w:rsidR="004448C8" w:rsidRPr="00B452F1">
        <w:t>As who provide care to the patients. Contrary to giving CHG bath, my observation is that more emphasis is laid on documentation than the actual recommended intervention. For example, the unit manager or the clinical care leader comes in the morning, the first</w:t>
      </w:r>
      <w:r w:rsidR="00DE33DC" w:rsidRPr="00B452F1">
        <w:t xml:space="preserve"> thing</w:t>
      </w:r>
      <w:r w:rsidR="004448C8" w:rsidRPr="00B452F1">
        <w:t xml:space="preserve"> they do is check the hygiene section of patient’s chart to see if CGH bath is documented. To avoid confrontation, some nurses will document that CHG bath was done when it was not done. </w:t>
      </w:r>
    </w:p>
    <w:p w14:paraId="42D40D0F" w14:textId="7E3648E3" w:rsidR="008E3614" w:rsidRPr="00B452F1" w:rsidRDefault="008E3614" w:rsidP="008E3614">
      <w:pPr>
        <w:spacing w:line="480" w:lineRule="auto"/>
        <w:ind w:firstLine="720"/>
        <w:jc w:val="both"/>
      </w:pPr>
      <w:r w:rsidRPr="00B452F1">
        <w:t>Furthermore, CHG</w:t>
      </w:r>
      <w:r w:rsidR="004448C8" w:rsidRPr="00B452F1">
        <w:t xml:space="preserve"> bath becomes </w:t>
      </w:r>
      <w:r w:rsidR="00DE33DC" w:rsidRPr="00B452F1">
        <w:t>the object</w:t>
      </w:r>
      <w:r w:rsidR="004448C8" w:rsidRPr="00B452F1">
        <w:t xml:space="preserve"> of discussion every morning</w:t>
      </w:r>
      <w:r w:rsidR="00DE33DC" w:rsidRPr="00B452F1">
        <w:t xml:space="preserve"> on my unit. I</w:t>
      </w:r>
      <w:r w:rsidRPr="00B452F1">
        <w:t>n</w:t>
      </w:r>
      <w:r w:rsidR="004448C8" w:rsidRPr="00B452F1">
        <w:t xml:space="preserve"> my opinion, the approach to enforcing CHG bath is negatively presented and focusing on CHG bath alone eliminates the reinforcement of other preventati</w:t>
      </w:r>
      <w:r w:rsidRPr="00B452F1">
        <w:t xml:space="preserve">ve factors. Another discrepancy of the CHG bath is that they try to make the </w:t>
      </w:r>
      <w:r w:rsidR="00757C2A" w:rsidRPr="00B452F1">
        <w:t>responsibility</w:t>
      </w:r>
      <w:r w:rsidR="00DE33DC" w:rsidRPr="00B452F1">
        <w:t xml:space="preserve"> </w:t>
      </w:r>
      <w:r w:rsidRPr="00B452F1">
        <w:t xml:space="preserve">of night shifts nurses. Although, the policy or protocol does not state that. CGH bath should be given every shift, but the unit leaders expect nurses to document CHG bath in the AM hours, thereby given coverage to day shift. Though, some nurses do give the CHG bath during their shift. If both day and night shift are held accountable, the patient </w:t>
      </w:r>
      <w:r w:rsidR="00F9619C" w:rsidRPr="00B452F1">
        <w:t>stands</w:t>
      </w:r>
      <w:r w:rsidRPr="00B452F1">
        <w:t xml:space="preserve"> a higher chance of getting the CGH bath every 24 hours at least.</w:t>
      </w:r>
    </w:p>
    <w:p w14:paraId="5AED541C" w14:textId="77777777" w:rsidR="008E3614" w:rsidRPr="00B452F1" w:rsidRDefault="008E3614" w:rsidP="004448C8">
      <w:pPr>
        <w:spacing w:line="480" w:lineRule="auto"/>
        <w:ind w:firstLine="720"/>
        <w:jc w:val="both"/>
      </w:pPr>
    </w:p>
    <w:p w14:paraId="2C43B164" w14:textId="53DDDBF5" w:rsidR="00F1520B" w:rsidRPr="00B452F1" w:rsidRDefault="00685950" w:rsidP="00685950">
      <w:pPr>
        <w:spacing w:line="480" w:lineRule="auto"/>
        <w:ind w:firstLine="720"/>
        <w:jc w:val="center"/>
        <w:rPr>
          <w:b/>
          <w:bCs/>
        </w:rPr>
      </w:pPr>
      <w:r w:rsidRPr="00B452F1">
        <w:rPr>
          <w:b/>
          <w:bCs/>
        </w:rPr>
        <w:t>Three Proposed Intervention Interventions</w:t>
      </w:r>
    </w:p>
    <w:p w14:paraId="3A745174" w14:textId="45B22BA9" w:rsidR="00E038C3" w:rsidRPr="00B452F1" w:rsidRDefault="00E038C3" w:rsidP="00685950">
      <w:pPr>
        <w:spacing w:line="480" w:lineRule="auto"/>
        <w:rPr>
          <w:b/>
          <w:bCs/>
        </w:rPr>
      </w:pPr>
      <w:bookmarkStart w:id="1" w:name="_Hlk170475582"/>
      <w:r w:rsidRPr="00B452F1">
        <w:rPr>
          <w:b/>
          <w:bCs/>
        </w:rPr>
        <w:t>Dry</w:t>
      </w:r>
      <w:r w:rsidR="008E779A" w:rsidRPr="00B452F1">
        <w:rPr>
          <w:b/>
          <w:bCs/>
        </w:rPr>
        <w:t>/Gauze</w:t>
      </w:r>
      <w:r w:rsidRPr="00B452F1">
        <w:rPr>
          <w:b/>
          <w:bCs/>
        </w:rPr>
        <w:t xml:space="preserve"> </w:t>
      </w:r>
      <w:r w:rsidR="00685950" w:rsidRPr="00B452F1">
        <w:rPr>
          <w:b/>
          <w:bCs/>
        </w:rPr>
        <w:t>D</w:t>
      </w:r>
      <w:r w:rsidRPr="00B452F1">
        <w:rPr>
          <w:b/>
          <w:bCs/>
        </w:rPr>
        <w:t xml:space="preserve">ressing </w:t>
      </w:r>
      <w:r w:rsidR="00685950" w:rsidRPr="00B452F1">
        <w:rPr>
          <w:b/>
          <w:bCs/>
        </w:rPr>
        <w:t>C</w:t>
      </w:r>
      <w:r w:rsidRPr="00B452F1">
        <w:rPr>
          <w:b/>
          <w:bCs/>
        </w:rPr>
        <w:t xml:space="preserve">hange </w:t>
      </w:r>
    </w:p>
    <w:bookmarkEnd w:id="1"/>
    <w:p w14:paraId="474798E8" w14:textId="11654A21" w:rsidR="003669EA" w:rsidRPr="00B452F1" w:rsidRDefault="00142561" w:rsidP="008E779A">
      <w:pPr>
        <w:spacing w:line="480" w:lineRule="auto"/>
        <w:ind w:firstLine="720"/>
        <w:jc w:val="both"/>
      </w:pPr>
      <w:r w:rsidRPr="00B452F1">
        <w:lastRenderedPageBreak/>
        <w:t>One of the undermined CLABSI preventions is the approach to CVL dressing change. Though, there are different kinds of CVL dressing</w:t>
      </w:r>
      <w:r w:rsidR="00E969F3" w:rsidRPr="00B452F1">
        <w:t>, and a standard policy to change the dressing when soiled and every seven days, compliance rate is questionable.</w:t>
      </w:r>
      <w:r w:rsidRPr="00B452F1">
        <w:t xml:space="preserve"> </w:t>
      </w:r>
      <w:r w:rsidR="00E969F3" w:rsidRPr="00B452F1">
        <w:t xml:space="preserve">So, </w:t>
      </w:r>
      <w:r w:rsidR="008E779A" w:rsidRPr="00B452F1">
        <w:t>implementing</w:t>
      </w:r>
      <w:r w:rsidR="00E969F3" w:rsidRPr="00B452F1">
        <w:t xml:space="preserve"> </w:t>
      </w:r>
      <w:r w:rsidR="008E779A" w:rsidRPr="00B452F1">
        <w:t xml:space="preserve">the use of dry </w:t>
      </w:r>
      <w:r w:rsidR="00E969F3" w:rsidRPr="00B452F1">
        <w:t>dressing</w:t>
      </w:r>
      <w:r w:rsidR="008E779A" w:rsidRPr="00B452F1">
        <w:t xml:space="preserve"> for CVL</w:t>
      </w:r>
      <w:r w:rsidR="00E969F3" w:rsidRPr="00B452F1">
        <w:t xml:space="preserve">, and every 48 hours (two days) dressing change </w:t>
      </w:r>
      <w:r w:rsidR="008E779A" w:rsidRPr="00B452F1">
        <w:t xml:space="preserve">against the seven days clear dressing change </w:t>
      </w:r>
      <w:r w:rsidR="00E969F3" w:rsidRPr="00B452F1">
        <w:t>seem like a better approach. Changing the dressing every two days increases the possibility of the dressing being changed at least t</w:t>
      </w:r>
      <w:r w:rsidR="007959AD" w:rsidRPr="00B452F1">
        <w:t>hree</w:t>
      </w:r>
      <w:r w:rsidR="00E969F3" w:rsidRPr="00B452F1">
        <w:t xml:space="preserve"> times in seven days. </w:t>
      </w:r>
      <w:r w:rsidR="003669EA" w:rsidRPr="00B452F1">
        <w:t xml:space="preserve">According to a nursing journal by </w:t>
      </w:r>
      <w:bookmarkStart w:id="2" w:name="_Hlk170478770"/>
      <w:r w:rsidR="00757C2A" w:rsidRPr="00B452F1">
        <w:t>Paquet</w:t>
      </w:r>
      <w:r w:rsidR="0051092E" w:rsidRPr="00B452F1">
        <w:t xml:space="preserve"> et al.,</w:t>
      </w:r>
      <w:r w:rsidR="00757C2A" w:rsidRPr="00B452F1">
        <w:t xml:space="preserve"> </w:t>
      </w:r>
      <w:r w:rsidR="003669EA" w:rsidRPr="00B452F1">
        <w:t>(</w:t>
      </w:r>
      <w:r w:rsidR="00757C2A" w:rsidRPr="00B452F1">
        <w:t>2021</w:t>
      </w:r>
      <w:r w:rsidR="003669EA" w:rsidRPr="00B452F1">
        <w:t xml:space="preserve">), </w:t>
      </w:r>
      <w:bookmarkEnd w:id="2"/>
      <w:r w:rsidR="003669EA" w:rsidRPr="00B452F1">
        <w:t>i</w:t>
      </w:r>
      <w:r w:rsidR="003669EA" w:rsidRPr="00B452F1">
        <w:t>n the 12 months following the change in practice, we noted a CLABSI reduction from 2.36/1,000 catheter days to zero, improvement in dressing audits from 19.61% to 85.34% of clean dressings (p=0.00001) and 62.75% to 90.58% of adherent dressings.</w:t>
      </w:r>
      <w:r w:rsidR="003669EA" w:rsidRPr="00B452F1">
        <w:t xml:space="preserve"> The study concluded that in this</w:t>
      </w:r>
      <w:r w:rsidR="003669EA" w:rsidRPr="00B452F1">
        <w:t xml:space="preserve"> pre-post study, a simple change in dressing type was implemented, resulting in a significant reduction in</w:t>
      </w:r>
      <w:r w:rsidR="003669EA" w:rsidRPr="00B452F1">
        <w:t xml:space="preserve"> the CLABSI rate </w:t>
      </w:r>
      <w:r w:rsidR="0051092E" w:rsidRPr="00B452F1">
        <w:t>(</w:t>
      </w:r>
      <w:r w:rsidR="00757C2A" w:rsidRPr="00B452F1">
        <w:t xml:space="preserve">Paquet </w:t>
      </w:r>
      <w:r w:rsidR="0051092E" w:rsidRPr="00B452F1">
        <w:t xml:space="preserve">et al., </w:t>
      </w:r>
      <w:r w:rsidR="00757C2A" w:rsidRPr="00B452F1">
        <w:t>2021),</w:t>
      </w:r>
    </w:p>
    <w:p w14:paraId="7360E44B" w14:textId="6D9E64C3" w:rsidR="00377199" w:rsidRPr="00B452F1" w:rsidRDefault="00377199" w:rsidP="00685950">
      <w:pPr>
        <w:spacing w:line="480" w:lineRule="auto"/>
        <w:rPr>
          <w:b/>
          <w:bCs/>
        </w:rPr>
      </w:pPr>
      <w:r w:rsidRPr="00B452F1">
        <w:rPr>
          <w:b/>
          <w:bCs/>
        </w:rPr>
        <w:t>Dedicated Registered Nurse CLABSI Prevention Role</w:t>
      </w:r>
    </w:p>
    <w:p w14:paraId="077CDCCE" w14:textId="5D2C4CA1" w:rsidR="00AA0D3C" w:rsidRPr="00B452F1" w:rsidRDefault="003F2DC1" w:rsidP="007A1FAD">
      <w:pPr>
        <w:spacing w:line="480" w:lineRule="auto"/>
        <w:jc w:val="both"/>
      </w:pPr>
      <w:r w:rsidRPr="00B452F1">
        <w:t xml:space="preserve">           Staffing shortage and heavy workload </w:t>
      </w:r>
      <w:r w:rsidR="00AA0D3C" w:rsidRPr="00B452F1">
        <w:t>are some of the contributing factors to the discrepancies in central line</w:t>
      </w:r>
      <w:r w:rsidR="007959AD" w:rsidRPr="00B452F1">
        <w:t xml:space="preserve"> care</w:t>
      </w:r>
      <w:r w:rsidR="00AA0D3C" w:rsidRPr="00B452F1">
        <w:t xml:space="preserve"> and CLABSI prevention. It is not new</w:t>
      </w:r>
      <w:r w:rsidR="007959AD" w:rsidRPr="00B452F1">
        <w:t>s</w:t>
      </w:r>
      <w:r w:rsidR="00AA0D3C" w:rsidRPr="00B452F1">
        <w:t xml:space="preserve"> that since COVID-19 pandemic, there is an increase in hospital acquired infection rate. The more there is patient on contact precaution in a unit, the higher the risk for potential CLABSI in patients with CVL. Recent studies </w:t>
      </w:r>
      <w:r w:rsidR="007A1FAD" w:rsidRPr="00B452F1">
        <w:t>support</w:t>
      </w:r>
      <w:r w:rsidR="00AA0D3C" w:rsidRPr="00B452F1">
        <w:t xml:space="preserve"> the </w:t>
      </w:r>
      <w:r w:rsidR="007A1FAD" w:rsidRPr="00B452F1">
        <w:t xml:space="preserve">use of a </w:t>
      </w:r>
      <w:r w:rsidR="00AA0D3C" w:rsidRPr="00B452F1">
        <w:t xml:space="preserve">dedicated </w:t>
      </w:r>
      <w:r w:rsidR="007A1FAD" w:rsidRPr="00B452F1">
        <w:t xml:space="preserve">registered nurse role in prevention of CLABSI. </w:t>
      </w:r>
      <w:r w:rsidR="00AA0D3C" w:rsidRPr="00B452F1">
        <w:t>The implementation of the CLABSI P-RN was beneficial in reducing CLABSIs. An expert-trained role dedicated to central line management reduces CLABSI occurrences, reduces health care costs, and improves patient outcomes. CLABSI Prevention RN role was associated with a reduction in CLABSI occurrences</w:t>
      </w:r>
      <w:r w:rsidR="00AA0D3C" w:rsidRPr="00B452F1">
        <w:t xml:space="preserve"> (</w:t>
      </w:r>
      <w:r w:rsidR="00AA0D3C" w:rsidRPr="00B452F1">
        <w:t>Star</w:t>
      </w:r>
      <w:r w:rsidR="00AA0D3C" w:rsidRPr="00B452F1">
        <w:t xml:space="preserve"> et al., 2024).</w:t>
      </w:r>
      <w:r w:rsidR="007A1FAD" w:rsidRPr="00B452F1">
        <w:t xml:space="preserve"> By dedicating CVL to registered nurses whose role is the care and oversee CVL, there will be a reduction in CLABSI.</w:t>
      </w:r>
    </w:p>
    <w:p w14:paraId="0ADC9D2D" w14:textId="09A9E5B1" w:rsidR="00685950" w:rsidRPr="00B452F1" w:rsidRDefault="00AE74F1" w:rsidP="00685950">
      <w:pPr>
        <w:spacing w:line="480" w:lineRule="auto"/>
        <w:rPr>
          <w:b/>
          <w:bCs/>
        </w:rPr>
      </w:pPr>
      <w:bookmarkStart w:id="3" w:name="_Hlk170476208"/>
      <w:r w:rsidRPr="00B452F1">
        <w:rPr>
          <w:b/>
          <w:bCs/>
        </w:rPr>
        <w:t>Limiting CVL Routine Blood Draw</w:t>
      </w:r>
    </w:p>
    <w:bookmarkEnd w:id="3"/>
    <w:p w14:paraId="268C114C" w14:textId="42C043AB" w:rsidR="00E038C3" w:rsidRPr="00B452F1" w:rsidRDefault="00AE74F1" w:rsidP="00A83E90">
      <w:pPr>
        <w:spacing w:line="480" w:lineRule="auto"/>
        <w:ind w:firstLine="720"/>
        <w:jc w:val="both"/>
      </w:pPr>
      <w:r w:rsidRPr="00B452F1">
        <w:lastRenderedPageBreak/>
        <w:t xml:space="preserve">Drawing blood from a CVL may seem easy to nurses and phlebotomists but </w:t>
      </w:r>
      <w:r w:rsidR="007959AD" w:rsidRPr="00B452F1">
        <w:t>it increases</w:t>
      </w:r>
      <w:r w:rsidRPr="00B452F1">
        <w:t xml:space="preserve"> the risk for CLABSI.  Each time a central line is accessed, patients are potentially exposed to possible pathogens. </w:t>
      </w:r>
      <w:r w:rsidR="00963135" w:rsidRPr="00B452F1">
        <w:t xml:space="preserve">A policy that limit blood </w:t>
      </w:r>
      <w:r w:rsidR="00B452F1" w:rsidRPr="00B452F1">
        <w:t>drawn</w:t>
      </w:r>
      <w:r w:rsidR="00963135" w:rsidRPr="00B452F1">
        <w:t xml:space="preserve"> through CVLs is another way to prevent and reduce the rate of CLABSI in CVL patients. This method of intervention is supported by evidence-based studies. </w:t>
      </w:r>
      <w:r w:rsidR="007959AD" w:rsidRPr="00B452F1">
        <w:t>D</w:t>
      </w:r>
      <w:r w:rsidR="00963135" w:rsidRPr="00B452F1">
        <w:t>ata collected supported that decreasing the use of CV</w:t>
      </w:r>
      <w:r w:rsidR="007959AD" w:rsidRPr="00B452F1">
        <w:t>L</w:t>
      </w:r>
      <w:r w:rsidR="00963135" w:rsidRPr="00B452F1">
        <w:t>s for routine blood draws can decrease the number of times CV</w:t>
      </w:r>
      <w:r w:rsidR="007959AD" w:rsidRPr="00B452F1">
        <w:t>L</w:t>
      </w:r>
      <w:r w:rsidR="00963135" w:rsidRPr="00B452F1">
        <w:t>s are accessed per shift and decrease the CLABSI rate</w:t>
      </w:r>
      <w:r w:rsidR="00963135" w:rsidRPr="00B452F1">
        <w:t xml:space="preserve"> (</w:t>
      </w:r>
      <w:r w:rsidR="00963135" w:rsidRPr="00B452F1">
        <w:t>Kuriakose,</w:t>
      </w:r>
      <w:r w:rsidR="00963135" w:rsidRPr="00B452F1">
        <w:t xml:space="preserve"> </w:t>
      </w:r>
      <w:r w:rsidR="00963135" w:rsidRPr="00B452F1">
        <w:t>2020). </w:t>
      </w:r>
      <w:r w:rsidR="00F41AD6" w:rsidRPr="00B452F1">
        <w:t>AS a registered nurse who work in a critical care unit, it troubles me to draw blood from a CVL</w:t>
      </w:r>
      <w:r w:rsidR="007959AD" w:rsidRPr="00B452F1">
        <w:t xml:space="preserve"> that is</w:t>
      </w:r>
      <w:r w:rsidR="00F41AD6" w:rsidRPr="00B452F1">
        <w:t xml:space="preserve"> being used for TPN or heparin drips. Considering the process of drawing a non-contaminated blood from a CVL that is actively in use, the intravenous treatment being given is held for at least an hour, and about 20 milliliters of blood will be waisted before drawing the blood for laboratory (lab) test. For </w:t>
      </w:r>
      <w:r w:rsidR="00A83E90" w:rsidRPr="00B452F1">
        <w:t>patients</w:t>
      </w:r>
      <w:r w:rsidR="00F41AD6" w:rsidRPr="00B452F1">
        <w:t xml:space="preserve"> who may need every four hours lab draw</w:t>
      </w:r>
      <w:r w:rsidR="007959AD" w:rsidRPr="00B452F1">
        <w:t>n</w:t>
      </w:r>
      <w:r w:rsidR="00F41AD6" w:rsidRPr="00B452F1">
        <w:t xml:space="preserve">, this </w:t>
      </w:r>
      <w:r w:rsidR="00A83E90" w:rsidRPr="00B452F1">
        <w:t>means</w:t>
      </w:r>
      <w:r w:rsidR="00F41AD6" w:rsidRPr="00B452F1">
        <w:t xml:space="preserve"> accessing the CVL multiple times in a day and wasting an increasing volume of blood.</w:t>
      </w:r>
    </w:p>
    <w:p w14:paraId="10F159D4" w14:textId="098457A8" w:rsidR="0072291B" w:rsidRPr="00B452F1" w:rsidRDefault="0072291B" w:rsidP="00A83E90">
      <w:pPr>
        <w:spacing w:line="480" w:lineRule="auto"/>
        <w:ind w:left="720"/>
        <w:jc w:val="center"/>
      </w:pPr>
      <w:r w:rsidRPr="00B452F1">
        <w:rPr>
          <w:b/>
          <w:bCs/>
        </w:rPr>
        <w:t>Analyz</w:t>
      </w:r>
      <w:r w:rsidR="00A83E90" w:rsidRPr="00B452F1">
        <w:rPr>
          <w:b/>
          <w:bCs/>
        </w:rPr>
        <w:t>ing</w:t>
      </w:r>
      <w:r w:rsidR="00A83E90" w:rsidRPr="00B452F1">
        <w:t xml:space="preserve"> </w:t>
      </w:r>
      <w:r w:rsidR="00A83E90" w:rsidRPr="00B452F1">
        <w:rPr>
          <w:b/>
          <w:bCs/>
        </w:rPr>
        <w:t>C</w:t>
      </w:r>
      <w:r w:rsidR="00A83E90" w:rsidRPr="00B452F1">
        <w:rPr>
          <w:b/>
          <w:bCs/>
        </w:rPr>
        <w:t xml:space="preserve">urrent </w:t>
      </w:r>
      <w:r w:rsidR="00A83E90" w:rsidRPr="00B452F1">
        <w:rPr>
          <w:b/>
          <w:bCs/>
        </w:rPr>
        <w:t>R</w:t>
      </w:r>
      <w:r w:rsidR="00A83E90" w:rsidRPr="00B452F1">
        <w:rPr>
          <w:b/>
          <w:bCs/>
        </w:rPr>
        <w:t xml:space="preserve">esearch and </w:t>
      </w:r>
      <w:r w:rsidR="00A83E90" w:rsidRPr="00B452F1">
        <w:rPr>
          <w:b/>
          <w:bCs/>
        </w:rPr>
        <w:t>C</w:t>
      </w:r>
      <w:r w:rsidR="00A83E90" w:rsidRPr="00B452F1">
        <w:rPr>
          <w:b/>
          <w:bCs/>
        </w:rPr>
        <w:t xml:space="preserve">linical </w:t>
      </w:r>
      <w:r w:rsidR="00A83E90" w:rsidRPr="00B452F1">
        <w:rPr>
          <w:b/>
          <w:bCs/>
        </w:rPr>
        <w:t>P</w:t>
      </w:r>
      <w:r w:rsidR="00A83E90" w:rsidRPr="00B452F1">
        <w:rPr>
          <w:b/>
          <w:bCs/>
        </w:rPr>
        <w:t>roblem</w:t>
      </w:r>
    </w:p>
    <w:p w14:paraId="37771454" w14:textId="08E8A8E5" w:rsidR="0072291B" w:rsidRPr="00B452F1" w:rsidRDefault="00A83E90" w:rsidP="00B429D0">
      <w:pPr>
        <w:spacing w:line="480" w:lineRule="auto"/>
        <w:ind w:firstLine="720"/>
        <w:jc w:val="both"/>
      </w:pPr>
      <w:r w:rsidRPr="00B452F1">
        <w:rPr>
          <w:b/>
          <w:bCs/>
        </w:rPr>
        <w:t xml:space="preserve"> </w:t>
      </w:r>
      <w:r w:rsidRPr="00B452F1">
        <w:t xml:space="preserve">There is </w:t>
      </w:r>
      <w:r w:rsidR="00037D42" w:rsidRPr="00B452F1">
        <w:t>much</w:t>
      </w:r>
      <w:r w:rsidRPr="00B452F1">
        <w:t xml:space="preserve"> research on CVL care and CLABSI prevention. </w:t>
      </w:r>
      <w:r w:rsidR="007959AD" w:rsidRPr="00B452F1">
        <w:t>Some</w:t>
      </w:r>
      <w:r w:rsidRPr="00B452F1">
        <w:t xml:space="preserve"> research </w:t>
      </w:r>
      <w:r w:rsidR="00037D42" w:rsidRPr="00B452F1">
        <w:t>supports</w:t>
      </w:r>
      <w:r w:rsidRPr="00B452F1">
        <w:t xml:space="preserve"> CHG bath on patients </w:t>
      </w:r>
      <w:r w:rsidR="0051092E" w:rsidRPr="00B452F1">
        <w:t>with CVL decreases CLABSI (</w:t>
      </w:r>
      <w:r w:rsidR="0051092E" w:rsidRPr="00B452F1">
        <w:t>Peixoto</w:t>
      </w:r>
      <w:r w:rsidR="0051092E" w:rsidRPr="00B452F1">
        <w:t xml:space="preserve"> et al., 2024)</w:t>
      </w:r>
      <w:r w:rsidR="00037D42" w:rsidRPr="00B452F1">
        <w:t>. Different studies present different care packages</w:t>
      </w:r>
      <w:r w:rsidR="007959AD" w:rsidRPr="00B452F1">
        <w:t>, s</w:t>
      </w:r>
      <w:r w:rsidR="00037D42" w:rsidRPr="00B452F1">
        <w:t xml:space="preserve">ome of which consist of the standard hand hygiene, single lumen CVL, alcohol caps and alcohol wipes, while some focus on the CVL insertion process, and many more. Considering all the studies and recommendations for CVL care, the prevalence of CLABSI is still on the rise in many hospitals. This clinical problem is an evident </w:t>
      </w:r>
      <w:r w:rsidR="00B429D0" w:rsidRPr="00B452F1">
        <w:t>of unprovided</w:t>
      </w:r>
      <w:r w:rsidR="00037D42" w:rsidRPr="00B452F1">
        <w:t xml:space="preserve"> </w:t>
      </w:r>
      <w:r w:rsidR="00B429D0" w:rsidRPr="00B452F1">
        <w:t xml:space="preserve">CVL care and poor CVL care. When nurse poorly follow recommended intervention procedures, the provided intervention becomes ineffective. Most nurses are professionals in documentation than in providing intervention. The </w:t>
      </w:r>
      <w:r w:rsidR="007959AD" w:rsidRPr="00B452F1">
        <w:t>leaders</w:t>
      </w:r>
      <w:r w:rsidR="00B429D0" w:rsidRPr="00B452F1">
        <w:t xml:space="preserve"> a</w:t>
      </w:r>
      <w:r w:rsidR="007959AD" w:rsidRPr="00B452F1">
        <w:t>re</w:t>
      </w:r>
      <w:r w:rsidR="00B429D0" w:rsidRPr="00B452F1">
        <w:t xml:space="preserve"> in part to blame because they only focus on documentation.</w:t>
      </w:r>
    </w:p>
    <w:p w14:paraId="4A12FAAC" w14:textId="77777777" w:rsidR="00B429D0" w:rsidRPr="00B452F1" w:rsidRDefault="00A83E90" w:rsidP="00B429D0">
      <w:pPr>
        <w:spacing w:line="480" w:lineRule="auto"/>
        <w:jc w:val="center"/>
        <w:rPr>
          <w:b/>
          <w:bCs/>
        </w:rPr>
      </w:pPr>
      <w:r w:rsidRPr="00B452F1">
        <w:rPr>
          <w:b/>
          <w:bCs/>
        </w:rPr>
        <w:t>H</w:t>
      </w:r>
      <w:r w:rsidRPr="00B452F1">
        <w:rPr>
          <w:b/>
          <w:bCs/>
        </w:rPr>
        <w:t>ypothesis</w:t>
      </w:r>
    </w:p>
    <w:p w14:paraId="47C95DAB" w14:textId="50DE802C" w:rsidR="00A83E90" w:rsidRPr="00B452F1" w:rsidRDefault="00B429D0" w:rsidP="00B429D0">
      <w:pPr>
        <w:spacing w:line="480" w:lineRule="auto"/>
        <w:ind w:firstLine="720"/>
        <w:jc w:val="both"/>
        <w:rPr>
          <w:b/>
          <w:bCs/>
        </w:rPr>
      </w:pPr>
      <w:r w:rsidRPr="00B452F1">
        <w:lastRenderedPageBreak/>
        <w:t xml:space="preserve">Patients who received gauze dressing and their CVL dressing is changed every two days have a higher chance of getting their dressing changed than patients who receive transparent dressing that is changed every seven days. Another hypothesis is that patients in a unit with dedicated registered nurse whose role is CVL care, will have less CLABSI cases </w:t>
      </w:r>
      <w:r w:rsidR="00BB79BA" w:rsidRPr="00B452F1">
        <w:t>than</w:t>
      </w:r>
      <w:r w:rsidRPr="00B452F1">
        <w:t xml:space="preserve"> patient</w:t>
      </w:r>
      <w:r w:rsidR="00BB79BA" w:rsidRPr="00B452F1">
        <w:t>s in a unit with a standard CVL policy. Another hypothesis is that patients whose CVL are less frequently accessed have a lower risk of CLABSI than patients whose CVL are accessed frequently.</w:t>
      </w:r>
    </w:p>
    <w:p w14:paraId="1BB69EAF" w14:textId="7F24FB68" w:rsidR="0072291B" w:rsidRPr="00B452F1" w:rsidRDefault="0072291B" w:rsidP="0072291B">
      <w:pPr>
        <w:spacing w:line="480" w:lineRule="auto"/>
        <w:jc w:val="center"/>
        <w:rPr>
          <w:b/>
          <w:bCs/>
        </w:rPr>
      </w:pPr>
      <w:r w:rsidRPr="00B452F1">
        <w:rPr>
          <w:b/>
          <w:bCs/>
        </w:rPr>
        <w:t>Conclusion</w:t>
      </w:r>
    </w:p>
    <w:p w14:paraId="62116CF1" w14:textId="43FA33AB" w:rsidR="00BB79BA" w:rsidRPr="00B452F1" w:rsidRDefault="00BB79BA" w:rsidP="00BB000C">
      <w:pPr>
        <w:spacing w:line="480" w:lineRule="auto"/>
        <w:ind w:firstLine="720"/>
        <w:jc w:val="both"/>
      </w:pPr>
      <w:r w:rsidRPr="00B452F1">
        <w:t>CLABSI is a major health issue in people with CVL but also preventable. The use of d</w:t>
      </w:r>
      <w:r w:rsidRPr="00B452F1">
        <w:t>ry/</w:t>
      </w:r>
      <w:r w:rsidRPr="00B452F1">
        <w:t>g</w:t>
      </w:r>
      <w:r w:rsidRPr="00B452F1">
        <w:t xml:space="preserve">auze </w:t>
      </w:r>
      <w:r w:rsidRPr="00B452F1">
        <w:t>d</w:t>
      </w:r>
      <w:r w:rsidRPr="00B452F1">
        <w:t xml:space="preserve">ressing </w:t>
      </w:r>
      <w:r w:rsidRPr="00B452F1">
        <w:t>c</w:t>
      </w:r>
      <w:r w:rsidRPr="00B452F1">
        <w:t xml:space="preserve">hange </w:t>
      </w:r>
      <w:r w:rsidRPr="00B452F1">
        <w:t>and changing the dressing every two days will increase the probability of the dressing getting changed at lease three times in seven days. Gause dressing is simple and easy</w:t>
      </w:r>
      <w:r w:rsidR="00BB000C" w:rsidRPr="00B452F1">
        <w:t>. When done properly, it means that the CVL will be assessed, and any abnormality will be noted early. While using a d</w:t>
      </w:r>
      <w:r w:rsidR="00BB000C" w:rsidRPr="00B452F1">
        <w:t xml:space="preserve">edicated </w:t>
      </w:r>
      <w:r w:rsidR="00BB000C" w:rsidRPr="00B452F1">
        <w:t>r</w:t>
      </w:r>
      <w:r w:rsidR="00BB000C" w:rsidRPr="00B452F1">
        <w:t xml:space="preserve">egistered </w:t>
      </w:r>
      <w:r w:rsidR="00BB000C" w:rsidRPr="00B452F1">
        <w:t>n</w:t>
      </w:r>
      <w:r w:rsidR="00BB000C" w:rsidRPr="00B452F1">
        <w:t>urse</w:t>
      </w:r>
      <w:r w:rsidR="00BB000C" w:rsidRPr="00B452F1">
        <w:t xml:space="preserve"> whose role is CVL care and </w:t>
      </w:r>
      <w:r w:rsidR="00BB000C" w:rsidRPr="00B452F1">
        <w:t xml:space="preserve">CLABSI </w:t>
      </w:r>
      <w:r w:rsidR="00BB000C" w:rsidRPr="00B452F1">
        <w:t>p</w:t>
      </w:r>
      <w:r w:rsidR="00BB000C" w:rsidRPr="00B452F1">
        <w:t xml:space="preserve">revention </w:t>
      </w:r>
      <w:r w:rsidR="00757C2A" w:rsidRPr="00B452F1">
        <w:t>will</w:t>
      </w:r>
      <w:r w:rsidR="00BB000C" w:rsidRPr="00B452F1">
        <w:t xml:space="preserve"> focus solely on CVL care</w:t>
      </w:r>
      <w:r w:rsidR="00757C2A" w:rsidRPr="00B452F1">
        <w:t xml:space="preserve"> and prevention</w:t>
      </w:r>
      <w:r w:rsidR="00BB000C" w:rsidRPr="00B452F1">
        <w:t>. This also means that the dedicated role nurse will be responsible in explaining a higher incidence of CLABSI. In a more beneficial perspective, patients will benefit from receiving special attention to CVL care.</w:t>
      </w:r>
    </w:p>
    <w:p w14:paraId="0A95724C" w14:textId="63188865" w:rsidR="00687C78" w:rsidRPr="00B452F1" w:rsidRDefault="00BB000C" w:rsidP="00B224A8">
      <w:pPr>
        <w:spacing w:line="480" w:lineRule="auto"/>
        <w:ind w:firstLine="720"/>
        <w:jc w:val="both"/>
      </w:pPr>
      <w:r w:rsidRPr="00B452F1">
        <w:t>Moreover, l</w:t>
      </w:r>
      <w:r w:rsidRPr="00B452F1">
        <w:t xml:space="preserve">imiting CVL </w:t>
      </w:r>
      <w:r w:rsidRPr="00B452F1">
        <w:t>r</w:t>
      </w:r>
      <w:r w:rsidRPr="00B452F1">
        <w:t xml:space="preserve">outine </w:t>
      </w:r>
      <w:r w:rsidRPr="00B452F1">
        <w:t>b</w:t>
      </w:r>
      <w:r w:rsidRPr="00B452F1">
        <w:t xml:space="preserve">lood </w:t>
      </w:r>
      <w:r w:rsidRPr="00B452F1">
        <w:t>d</w:t>
      </w:r>
      <w:r w:rsidRPr="00B452F1">
        <w:t>raw</w:t>
      </w:r>
      <w:r w:rsidR="00757C2A" w:rsidRPr="00B452F1">
        <w:t xml:space="preserve"> is also an important prevention intervention</w:t>
      </w:r>
      <w:r w:rsidRPr="00B452F1">
        <w:t>. Each time a CVL is accessed, the risk for CLABSI increases. Each time blood is drawn from the CVL, the risk for complications which include infectio</w:t>
      </w:r>
      <w:r w:rsidR="00757C2A" w:rsidRPr="00B452F1">
        <w:t>us</w:t>
      </w:r>
      <w:r w:rsidR="00B224A8" w:rsidRPr="00B452F1">
        <w:t xml:space="preserve"> disease</w:t>
      </w:r>
      <w:r w:rsidRPr="00B452F1">
        <w:t xml:space="preserve"> increases. </w:t>
      </w:r>
      <w:r w:rsidR="00B224A8" w:rsidRPr="00B452F1">
        <w:t>CLABSI prevention is very important because it contributes to comorbidity and mortality in hospitalized patients. Following a proper evidence-based intervention recommendation is important in reducing CLABSI incidence, reducing hospital stay, promoting health and healing, and reducing cost.</w:t>
      </w:r>
    </w:p>
    <w:p w14:paraId="7853491F" w14:textId="77777777" w:rsidR="00687C78" w:rsidRDefault="00687C78" w:rsidP="00687C78">
      <w:pPr>
        <w:spacing w:line="480" w:lineRule="auto"/>
      </w:pPr>
    </w:p>
    <w:p w14:paraId="797A8990" w14:textId="371E70CC" w:rsidR="00687C78" w:rsidRPr="00687C78" w:rsidRDefault="00687C78" w:rsidP="00687C78">
      <w:pPr>
        <w:spacing w:line="480" w:lineRule="auto"/>
        <w:jc w:val="center"/>
        <w:rPr>
          <w:b/>
          <w:bCs/>
        </w:rPr>
      </w:pPr>
      <w:r w:rsidRPr="00687C78">
        <w:rPr>
          <w:b/>
          <w:bCs/>
        </w:rPr>
        <w:lastRenderedPageBreak/>
        <w:t>References</w:t>
      </w:r>
    </w:p>
    <w:p w14:paraId="15688F69" w14:textId="77777777" w:rsidR="00011A39" w:rsidRPr="00B452F1" w:rsidRDefault="00687C78" w:rsidP="00B452F1">
      <w:pPr>
        <w:spacing w:line="480" w:lineRule="auto"/>
      </w:pPr>
      <w:bookmarkStart w:id="4" w:name="_Hlk170351093"/>
      <w:r w:rsidRPr="00B452F1">
        <w:t>Haddadin</w:t>
      </w:r>
      <w:bookmarkEnd w:id="4"/>
      <w:r w:rsidRPr="00B452F1">
        <w:t xml:space="preserve"> Y, </w:t>
      </w:r>
      <w:r w:rsidR="0051092E" w:rsidRPr="00B452F1">
        <w:t xml:space="preserve">&amp; </w:t>
      </w:r>
      <w:r w:rsidRPr="00B452F1">
        <w:t xml:space="preserve">Annamaraju P, </w:t>
      </w:r>
      <w:r w:rsidR="0051092E" w:rsidRPr="00B452F1">
        <w:t xml:space="preserve">&amp; </w:t>
      </w:r>
      <w:r w:rsidRPr="00B452F1">
        <w:t>Regunath H.</w:t>
      </w:r>
      <w:r w:rsidR="0051092E" w:rsidRPr="00B452F1">
        <w:t xml:space="preserve"> (2022) </w:t>
      </w:r>
      <w:r w:rsidRPr="00B452F1">
        <w:t>Central Line–Associated Blood Stream</w:t>
      </w:r>
    </w:p>
    <w:p w14:paraId="40BDA6E9" w14:textId="77777777" w:rsidR="00011A39" w:rsidRPr="00B452F1" w:rsidRDefault="00011A39" w:rsidP="00B452F1">
      <w:pPr>
        <w:spacing w:line="480" w:lineRule="auto"/>
      </w:pPr>
      <w:r w:rsidRPr="00B452F1">
        <w:t xml:space="preserve">          </w:t>
      </w:r>
      <w:r w:rsidR="00687C78" w:rsidRPr="00B452F1">
        <w:t xml:space="preserve"> Infections. In: StatPearls [Internet]. Treasure Island (FL): StatPearls Publishing; 2024 Jan-</w:t>
      </w:r>
    </w:p>
    <w:p w14:paraId="2E645257" w14:textId="4F935FE9" w:rsidR="00377199" w:rsidRPr="00B452F1" w:rsidRDefault="00011A39" w:rsidP="00B452F1">
      <w:pPr>
        <w:spacing w:line="480" w:lineRule="auto"/>
      </w:pPr>
      <w:r w:rsidRPr="00B452F1">
        <w:t xml:space="preserve">            </w:t>
      </w:r>
      <w:r w:rsidR="00687C78" w:rsidRPr="00B452F1">
        <w:t xml:space="preserve">Available </w:t>
      </w:r>
      <w:r w:rsidRPr="00B452F1">
        <w:t>F</w:t>
      </w:r>
      <w:r w:rsidR="00687C78" w:rsidRPr="00B452F1">
        <w:t>rom: https://www.ncbi.nlm.nih.gov/books/NBK430891/</w:t>
      </w:r>
      <w:bookmarkStart w:id="5" w:name="_Hlk170270468"/>
    </w:p>
    <w:p w14:paraId="7888E0BA" w14:textId="77777777" w:rsidR="00B452F1" w:rsidRPr="00B452F1" w:rsidRDefault="00AE5D49" w:rsidP="00B452F1">
      <w:pPr>
        <w:spacing w:line="480" w:lineRule="auto"/>
      </w:pPr>
      <w:r w:rsidRPr="00B452F1">
        <w:t>Kolikof</w:t>
      </w:r>
      <w:bookmarkEnd w:id="5"/>
      <w:r w:rsidRPr="00B452F1">
        <w:t xml:space="preserve"> J, </w:t>
      </w:r>
      <w:r w:rsidR="0051092E" w:rsidRPr="00B452F1">
        <w:t xml:space="preserve">&amp; </w:t>
      </w:r>
      <w:r w:rsidRPr="00B452F1">
        <w:t xml:space="preserve">Peterson K, </w:t>
      </w:r>
      <w:r w:rsidR="0051092E" w:rsidRPr="00B452F1">
        <w:t xml:space="preserve">&amp; </w:t>
      </w:r>
      <w:r w:rsidRPr="00B452F1">
        <w:t xml:space="preserve">Baker </w:t>
      </w:r>
      <w:r w:rsidR="0051092E" w:rsidRPr="00B452F1">
        <w:t xml:space="preserve">A. </w:t>
      </w:r>
      <w:r w:rsidRPr="00B452F1">
        <w:t>M.</w:t>
      </w:r>
      <w:r w:rsidR="00011A39" w:rsidRPr="00B452F1">
        <w:t xml:space="preserve"> (2023).</w:t>
      </w:r>
      <w:r w:rsidRPr="00B452F1">
        <w:t xml:space="preserve"> Central Venous Catheter. In: StatPearls </w:t>
      </w:r>
    </w:p>
    <w:p w14:paraId="67721D83" w14:textId="3574D438" w:rsidR="00B452F1" w:rsidRPr="00B452F1" w:rsidRDefault="00B452F1" w:rsidP="00B452F1">
      <w:pPr>
        <w:spacing w:line="480" w:lineRule="auto"/>
      </w:pPr>
      <w:r w:rsidRPr="00B452F1">
        <w:t xml:space="preserve">           </w:t>
      </w:r>
      <w:r w:rsidR="00AE5D49" w:rsidRPr="00B452F1">
        <w:t xml:space="preserve">[Internet]. Treasure Island (FL): StatPearls Publishing; 2024 Jan-. Available from: </w:t>
      </w:r>
    </w:p>
    <w:p w14:paraId="0525B22D" w14:textId="274C4EB9" w:rsidR="00A023C5" w:rsidRPr="00B452F1" w:rsidRDefault="00B452F1" w:rsidP="00B452F1">
      <w:pPr>
        <w:spacing w:line="480" w:lineRule="auto"/>
      </w:pPr>
      <w:r w:rsidRPr="00B452F1">
        <w:t xml:space="preserve">            </w:t>
      </w:r>
      <w:hyperlink r:id="rId7" w:history="1">
        <w:r w:rsidRPr="00B452F1">
          <w:rPr>
            <w:rStyle w:val="Hyperlink"/>
          </w:rPr>
          <w:t>https://www.ncbi.nlm.nih.gov/books/NBK557798/</w:t>
        </w:r>
      </w:hyperlink>
    </w:p>
    <w:p w14:paraId="7A2A65B0" w14:textId="77777777" w:rsidR="00B452F1" w:rsidRPr="00B452F1" w:rsidRDefault="00AE74F1" w:rsidP="00B452F1">
      <w:pPr>
        <w:spacing w:line="480" w:lineRule="auto"/>
      </w:pPr>
      <w:bookmarkStart w:id="6" w:name="_Hlk170470976"/>
      <w:r w:rsidRPr="00B452F1">
        <w:t xml:space="preserve">Kuriakose L. (2020). </w:t>
      </w:r>
      <w:bookmarkEnd w:id="6"/>
      <w:r w:rsidRPr="00B452F1">
        <w:t xml:space="preserve">Decreasing Central Line Associated Bloodstream Infection Through </w:t>
      </w:r>
    </w:p>
    <w:p w14:paraId="09ABD06A" w14:textId="77777777" w:rsidR="00B452F1" w:rsidRPr="00B452F1" w:rsidRDefault="00B452F1" w:rsidP="00B452F1">
      <w:pPr>
        <w:spacing w:line="480" w:lineRule="auto"/>
      </w:pPr>
      <w:r w:rsidRPr="00B452F1">
        <w:t xml:space="preserve">           </w:t>
      </w:r>
      <w:r w:rsidR="00AE74F1" w:rsidRPr="00B452F1">
        <w:t xml:space="preserve">Limiting the Use of Central Venous Catheters for Routine Blood Draws. Journal of </w:t>
      </w:r>
    </w:p>
    <w:p w14:paraId="0799D6A6" w14:textId="77777777" w:rsidR="00B452F1" w:rsidRPr="00B452F1" w:rsidRDefault="00B452F1" w:rsidP="00B452F1">
      <w:pPr>
        <w:spacing w:line="480" w:lineRule="auto"/>
      </w:pPr>
      <w:r w:rsidRPr="00B452F1">
        <w:t xml:space="preserve">          </w:t>
      </w:r>
      <w:r w:rsidR="00AE74F1" w:rsidRPr="00B452F1">
        <w:t xml:space="preserve">Doctoral Nursing Practice, 13(2), 173–183. </w:t>
      </w:r>
      <w:hyperlink r:id="rId8" w:history="1">
        <w:r w:rsidRPr="00B452F1">
          <w:rPr>
            <w:rStyle w:val="Hyperlink"/>
          </w:rPr>
          <w:t>https://doi-</w:t>
        </w:r>
      </w:hyperlink>
      <w:r w:rsidRPr="00B452F1">
        <w:t xml:space="preserve"> </w:t>
      </w:r>
    </w:p>
    <w:p w14:paraId="023576FD" w14:textId="163628CA" w:rsidR="00AE74F1" w:rsidRPr="00B452F1" w:rsidRDefault="00B452F1" w:rsidP="00B452F1">
      <w:pPr>
        <w:spacing w:line="480" w:lineRule="auto"/>
      </w:pPr>
      <w:r w:rsidRPr="00B452F1">
        <w:t xml:space="preserve">           </w:t>
      </w:r>
      <w:r w:rsidR="00AE74F1" w:rsidRPr="00B452F1">
        <w:t>org.proxy.lib.odu.edu/10.1891/JDNP-D-19-00071</w:t>
      </w:r>
    </w:p>
    <w:p w14:paraId="22BD9A85" w14:textId="77777777" w:rsidR="00B452F1" w:rsidRPr="00B452F1" w:rsidRDefault="00A023C5" w:rsidP="00B452F1">
      <w:pPr>
        <w:spacing w:line="480" w:lineRule="auto"/>
      </w:pPr>
      <w:r w:rsidRPr="00B452F1">
        <w:t>Lee</w:t>
      </w:r>
      <w:r w:rsidR="00011A39" w:rsidRPr="00B452F1">
        <w:t xml:space="preserve"> </w:t>
      </w:r>
      <w:r w:rsidRPr="00B452F1">
        <w:t>J</w:t>
      </w:r>
      <w:r w:rsidR="00011A39" w:rsidRPr="00B452F1">
        <w:t xml:space="preserve">. </w:t>
      </w:r>
      <w:r w:rsidRPr="00B452F1">
        <w:t>H</w:t>
      </w:r>
      <w:r w:rsidR="00011A39" w:rsidRPr="00B452F1">
        <w:t>., &amp;</w:t>
      </w:r>
      <w:r w:rsidRPr="00B452F1">
        <w:t xml:space="preserve"> Min U</w:t>
      </w:r>
      <w:r w:rsidR="00011A39" w:rsidRPr="00B452F1">
        <w:t>.</w:t>
      </w:r>
      <w:r w:rsidRPr="00B452F1">
        <w:t xml:space="preserve"> K</w:t>
      </w:r>
      <w:r w:rsidR="00011A39" w:rsidRPr="00B452F1">
        <w:t>.</w:t>
      </w:r>
      <w:r w:rsidRPr="00B452F1">
        <w:t xml:space="preserve">, </w:t>
      </w:r>
      <w:r w:rsidR="00011A39" w:rsidRPr="00B452F1">
        <w:t xml:space="preserve">&amp; </w:t>
      </w:r>
      <w:r w:rsidRPr="00B452F1">
        <w:t>Eung T</w:t>
      </w:r>
      <w:r w:rsidR="00011A39" w:rsidRPr="00B452F1">
        <w:t>.</w:t>
      </w:r>
      <w:r w:rsidRPr="00B452F1">
        <w:t xml:space="preserve"> K</w:t>
      </w:r>
      <w:r w:rsidR="00011A39" w:rsidRPr="00B452F1">
        <w:t>.</w:t>
      </w:r>
      <w:r w:rsidRPr="00B452F1">
        <w:t xml:space="preserve">, </w:t>
      </w:r>
      <w:r w:rsidR="00011A39" w:rsidRPr="00B452F1">
        <w:t xml:space="preserve">&amp; </w:t>
      </w:r>
      <w:r w:rsidRPr="00B452F1">
        <w:t>Dong J</w:t>
      </w:r>
      <w:r w:rsidR="00011A39" w:rsidRPr="00B452F1">
        <w:t>.</w:t>
      </w:r>
      <w:r w:rsidRPr="00B452F1">
        <w:t xml:space="preserve"> S</w:t>
      </w:r>
      <w:r w:rsidR="00011A39" w:rsidRPr="00B452F1">
        <w:t>.</w:t>
      </w:r>
      <w:r w:rsidRPr="00B452F1">
        <w:t xml:space="preserve">, </w:t>
      </w:r>
      <w:r w:rsidR="00011A39" w:rsidRPr="00B452F1">
        <w:t xml:space="preserve">&amp; </w:t>
      </w:r>
      <w:r w:rsidRPr="00B452F1">
        <w:t>Il J</w:t>
      </w:r>
      <w:r w:rsidR="00011A39" w:rsidRPr="00B452F1">
        <w:t>.</w:t>
      </w:r>
      <w:r w:rsidRPr="00B452F1">
        <w:t xml:space="preserve"> K</w:t>
      </w:r>
      <w:r w:rsidR="00011A39" w:rsidRPr="00B452F1">
        <w:t>.</w:t>
      </w:r>
      <w:r w:rsidRPr="00B452F1">
        <w:t xml:space="preserve">, </w:t>
      </w:r>
      <w:r w:rsidR="00011A39" w:rsidRPr="00B452F1">
        <w:t xml:space="preserve">&amp; </w:t>
      </w:r>
      <w:r w:rsidRPr="00B452F1">
        <w:t>Jong H</w:t>
      </w:r>
      <w:r w:rsidR="00011A39" w:rsidRPr="00B452F1">
        <w:t xml:space="preserve">. </w:t>
      </w:r>
      <w:r w:rsidRPr="00B452F1">
        <w:t>B</w:t>
      </w:r>
      <w:r w:rsidR="00011A39" w:rsidRPr="00B452F1">
        <w:t>.</w:t>
      </w:r>
      <w:r w:rsidRPr="00B452F1">
        <w:t xml:space="preserve">, </w:t>
      </w:r>
      <w:r w:rsidR="00011A39" w:rsidRPr="00B452F1">
        <w:t xml:space="preserve">&amp; </w:t>
      </w:r>
      <w:r w:rsidRPr="00B452F1">
        <w:t>Hyun B</w:t>
      </w:r>
      <w:r w:rsidR="00011A39" w:rsidRPr="00B452F1">
        <w:t xml:space="preserve">. </w:t>
      </w:r>
      <w:r w:rsidRPr="00B452F1">
        <w:t>K</w:t>
      </w:r>
      <w:r w:rsidR="00011A39" w:rsidRPr="00B452F1">
        <w:t>.</w:t>
      </w:r>
      <w:r w:rsidRPr="00B452F1">
        <w:t xml:space="preserve"> </w:t>
      </w:r>
    </w:p>
    <w:p w14:paraId="5E295D03" w14:textId="77777777" w:rsidR="00B452F1" w:rsidRPr="00B452F1" w:rsidRDefault="00B452F1" w:rsidP="00B452F1">
      <w:pPr>
        <w:spacing w:line="480" w:lineRule="auto"/>
      </w:pPr>
      <w:r w:rsidRPr="00B452F1">
        <w:t xml:space="preserve">            </w:t>
      </w:r>
      <w:r w:rsidR="00011A39" w:rsidRPr="00B452F1">
        <w:t xml:space="preserve">(2020) </w:t>
      </w:r>
      <w:r w:rsidR="00A023C5" w:rsidRPr="00B452F1">
        <w:t>“Prevalence and Predictors of Peripherally Inserted Central Venous Catheter</w:t>
      </w:r>
    </w:p>
    <w:p w14:paraId="44C429B7" w14:textId="77777777" w:rsidR="00B452F1" w:rsidRPr="00B452F1" w:rsidRDefault="00B452F1" w:rsidP="00B452F1">
      <w:pPr>
        <w:spacing w:line="480" w:lineRule="auto"/>
      </w:pPr>
      <w:r w:rsidRPr="00B452F1">
        <w:t xml:space="preserve">          </w:t>
      </w:r>
      <w:r w:rsidR="00A023C5" w:rsidRPr="00B452F1">
        <w:t xml:space="preserve"> Associated Bloodstream Infections in Cancer Patients: A Multicentre Cohort </w:t>
      </w:r>
    </w:p>
    <w:p w14:paraId="5F6FB27F" w14:textId="5E09E49C" w:rsidR="007F1C42" w:rsidRPr="00B452F1" w:rsidRDefault="00B452F1" w:rsidP="00B452F1">
      <w:pPr>
        <w:spacing w:line="480" w:lineRule="auto"/>
      </w:pPr>
      <w:r w:rsidRPr="00B452F1">
        <w:t xml:space="preserve">           </w:t>
      </w:r>
      <w:r w:rsidR="00A023C5" w:rsidRPr="00B452F1">
        <w:t>Study.” Medicine 99, no. 6 (e19056. doi:10.1097/MD.0000000000019056</w:t>
      </w:r>
    </w:p>
    <w:p w14:paraId="18C97492" w14:textId="77777777" w:rsidR="00B452F1" w:rsidRPr="00B452F1" w:rsidRDefault="00493DD1" w:rsidP="00B452F1">
      <w:pPr>
        <w:spacing w:line="480" w:lineRule="auto"/>
      </w:pPr>
      <w:r w:rsidRPr="00B452F1">
        <w:t>Paquet F.,</w:t>
      </w:r>
      <w:r w:rsidR="00011A39" w:rsidRPr="00B452F1">
        <w:t xml:space="preserve"> &amp;</w:t>
      </w:r>
      <w:r w:rsidRPr="00B452F1">
        <w:t xml:space="preserve"> Morlese, J., &amp; Frenette C. (2021). Use of dry </w:t>
      </w:r>
      <w:r w:rsidR="00011A39" w:rsidRPr="00B452F1">
        <w:t>D</w:t>
      </w:r>
      <w:r w:rsidRPr="00B452F1">
        <w:t xml:space="preserve">ressings for </w:t>
      </w:r>
      <w:r w:rsidR="00011A39" w:rsidRPr="00B452F1">
        <w:t>C</w:t>
      </w:r>
      <w:r w:rsidRPr="00B452F1">
        <w:t xml:space="preserve">entral </w:t>
      </w:r>
      <w:r w:rsidR="00011A39" w:rsidRPr="00B452F1">
        <w:t>V</w:t>
      </w:r>
      <w:r w:rsidRPr="00B452F1">
        <w:t xml:space="preserve">enous </w:t>
      </w:r>
      <w:r w:rsidR="00011A39" w:rsidRPr="00B452F1">
        <w:t>A</w:t>
      </w:r>
      <w:r w:rsidRPr="00B452F1">
        <w:t>ccess</w:t>
      </w:r>
    </w:p>
    <w:p w14:paraId="26F4C568" w14:textId="4C657EFD" w:rsidR="00B452F1" w:rsidRPr="00B452F1" w:rsidRDefault="00B452F1" w:rsidP="00B452F1">
      <w:pPr>
        <w:spacing w:line="480" w:lineRule="auto"/>
      </w:pPr>
      <w:r w:rsidRPr="00B452F1">
        <w:t xml:space="preserve">           </w:t>
      </w:r>
      <w:r w:rsidR="00493DD1" w:rsidRPr="00B452F1">
        <w:t xml:space="preserve"> </w:t>
      </w:r>
      <w:r w:rsidR="00011A39" w:rsidRPr="00B452F1">
        <w:t>D</w:t>
      </w:r>
      <w:r w:rsidR="00493DD1" w:rsidRPr="00B452F1">
        <w:t xml:space="preserve">evices (CVADs) to </w:t>
      </w:r>
      <w:r w:rsidR="00011A39" w:rsidRPr="00B452F1">
        <w:t>D</w:t>
      </w:r>
      <w:r w:rsidR="00493DD1" w:rsidRPr="00B452F1">
        <w:t xml:space="preserve">ecrease </w:t>
      </w:r>
      <w:r w:rsidR="00011A39" w:rsidRPr="00B452F1">
        <w:t>C</w:t>
      </w:r>
      <w:r w:rsidR="00493DD1" w:rsidRPr="00B452F1">
        <w:t xml:space="preserve">entral </w:t>
      </w:r>
      <w:r w:rsidR="00011A39" w:rsidRPr="00B452F1">
        <w:t>L</w:t>
      </w:r>
      <w:r w:rsidR="00493DD1" w:rsidRPr="00B452F1">
        <w:t>ine-</w:t>
      </w:r>
      <w:r w:rsidR="00011A39" w:rsidRPr="00B452F1">
        <w:t>A</w:t>
      </w:r>
      <w:r w:rsidR="00493DD1" w:rsidRPr="00B452F1">
        <w:t xml:space="preserve">ssociated </w:t>
      </w:r>
      <w:r w:rsidRPr="00B452F1">
        <w:t>B</w:t>
      </w:r>
      <w:r w:rsidR="00493DD1" w:rsidRPr="00B452F1">
        <w:t xml:space="preserve">loodstream </w:t>
      </w:r>
      <w:r w:rsidRPr="00B452F1">
        <w:t>I</w:t>
      </w:r>
      <w:r w:rsidR="00493DD1" w:rsidRPr="00B452F1">
        <w:t>nfections</w:t>
      </w:r>
    </w:p>
    <w:p w14:paraId="662A2ECC" w14:textId="77777777" w:rsidR="00B452F1" w:rsidRPr="00B452F1" w:rsidRDefault="00B452F1" w:rsidP="00B452F1">
      <w:pPr>
        <w:spacing w:line="480" w:lineRule="auto"/>
      </w:pPr>
      <w:r w:rsidRPr="00B452F1">
        <w:t xml:space="preserve">          </w:t>
      </w:r>
      <w:r w:rsidR="00493DD1" w:rsidRPr="00B452F1">
        <w:t xml:space="preserve"> (CLABSI) in a</w:t>
      </w:r>
      <w:r w:rsidR="00011A39" w:rsidRPr="00B452F1">
        <w:t xml:space="preserve"> Trauma</w:t>
      </w:r>
      <w:r w:rsidR="00493DD1" w:rsidRPr="00B452F1">
        <w:t xml:space="preserve"> </w:t>
      </w:r>
      <w:r w:rsidR="00011A39" w:rsidRPr="00B452F1">
        <w:t>I</w:t>
      </w:r>
      <w:r w:rsidR="00493DD1" w:rsidRPr="00B452F1">
        <w:t xml:space="preserve">ntensive </w:t>
      </w:r>
      <w:r w:rsidR="00011A39" w:rsidRPr="00B452F1">
        <w:t>C</w:t>
      </w:r>
      <w:r w:rsidR="00493DD1" w:rsidRPr="00B452F1">
        <w:t xml:space="preserve">are </w:t>
      </w:r>
      <w:r w:rsidR="00011A39" w:rsidRPr="00B452F1">
        <w:t>U</w:t>
      </w:r>
      <w:r w:rsidR="00493DD1" w:rsidRPr="00B452F1">
        <w:t xml:space="preserve">nit (ICU). British Journal of Nursing, 30(8), </w:t>
      </w:r>
    </w:p>
    <w:p w14:paraId="37A71C5D" w14:textId="369BF06B" w:rsidR="007F1C42" w:rsidRPr="00B452F1" w:rsidRDefault="00B452F1" w:rsidP="00B452F1">
      <w:pPr>
        <w:spacing w:line="480" w:lineRule="auto"/>
      </w:pPr>
      <w:r w:rsidRPr="00B452F1">
        <w:t xml:space="preserve">           </w:t>
      </w:r>
      <w:r w:rsidR="00493DD1" w:rsidRPr="00B452F1">
        <w:t xml:space="preserve">S37–S42. </w:t>
      </w:r>
      <w:hyperlink r:id="rId9" w:history="1">
        <w:r w:rsidR="007F1C42" w:rsidRPr="00B452F1">
          <w:rPr>
            <w:rStyle w:val="Hyperlink"/>
          </w:rPr>
          <w:t>https://doi-org.proxy.lib.odu.edu/10.12968/bjon.2021.30.8.s37</w:t>
        </w:r>
      </w:hyperlink>
    </w:p>
    <w:p w14:paraId="4F24FE0A" w14:textId="751D503B" w:rsidR="00B452F1" w:rsidRPr="00B452F1" w:rsidRDefault="002D0085" w:rsidP="00B452F1">
      <w:pPr>
        <w:spacing w:line="480" w:lineRule="auto"/>
      </w:pPr>
      <w:r w:rsidRPr="00B452F1">
        <w:t xml:space="preserve">Peixoto E. A. C., </w:t>
      </w:r>
      <w:r w:rsidR="00011A39" w:rsidRPr="00B452F1">
        <w:t xml:space="preserve">&amp; </w:t>
      </w:r>
      <w:r w:rsidRPr="00B452F1">
        <w:t xml:space="preserve">Poveda V. de B., Gnatta J. R., &amp; Oliveira R. A. (2024). Bathing </w:t>
      </w:r>
      <w:r w:rsidR="00B452F1" w:rsidRPr="00B452F1">
        <w:t>W</w:t>
      </w:r>
      <w:r w:rsidRPr="00B452F1">
        <w:t xml:space="preserve">ith </w:t>
      </w:r>
      <w:r w:rsidR="00B452F1" w:rsidRPr="00B452F1">
        <w:t>W</w:t>
      </w:r>
      <w:r w:rsidRPr="00B452F1">
        <w:t>ipes</w:t>
      </w:r>
    </w:p>
    <w:p w14:paraId="7F8A6537" w14:textId="77777777" w:rsidR="00B452F1" w:rsidRPr="00B452F1" w:rsidRDefault="00B452F1" w:rsidP="00B452F1">
      <w:pPr>
        <w:spacing w:line="480" w:lineRule="auto"/>
      </w:pPr>
      <w:r w:rsidRPr="00B452F1">
        <w:t xml:space="preserve">          </w:t>
      </w:r>
      <w:r w:rsidR="002D0085" w:rsidRPr="00B452F1">
        <w:t xml:space="preserve"> </w:t>
      </w:r>
      <w:r w:rsidR="00011A39" w:rsidRPr="00B452F1">
        <w:t>I</w:t>
      </w:r>
      <w:r w:rsidR="002D0085" w:rsidRPr="00B452F1">
        <w:t xml:space="preserve">mpregnated </w:t>
      </w:r>
      <w:r w:rsidR="00011A39" w:rsidRPr="00B452F1">
        <w:t>W</w:t>
      </w:r>
      <w:r w:rsidR="002D0085" w:rsidRPr="00B452F1">
        <w:t xml:space="preserve">ith </w:t>
      </w:r>
      <w:r w:rsidR="00011A39" w:rsidRPr="00B452F1">
        <w:t>C</w:t>
      </w:r>
      <w:r w:rsidR="002D0085" w:rsidRPr="00B452F1">
        <w:t xml:space="preserve">hlorhexidine </w:t>
      </w:r>
      <w:r w:rsidR="00011A39" w:rsidRPr="00B452F1">
        <w:t>G</w:t>
      </w:r>
      <w:r w:rsidR="002D0085" w:rsidRPr="00B452F1">
        <w:t xml:space="preserve">luconate to </w:t>
      </w:r>
      <w:r w:rsidR="00011A39" w:rsidRPr="00B452F1">
        <w:t>P</w:t>
      </w:r>
      <w:r w:rsidR="002D0085" w:rsidRPr="00B452F1">
        <w:t xml:space="preserve">revent </w:t>
      </w:r>
      <w:r w:rsidR="00011A39" w:rsidRPr="00B452F1">
        <w:t>C</w:t>
      </w:r>
      <w:r w:rsidR="002D0085" w:rsidRPr="00B452F1">
        <w:t xml:space="preserve">entral </w:t>
      </w:r>
      <w:r w:rsidR="00011A39" w:rsidRPr="00B452F1">
        <w:t>L</w:t>
      </w:r>
      <w:r w:rsidR="002D0085" w:rsidRPr="00B452F1">
        <w:t>ine-</w:t>
      </w:r>
      <w:r w:rsidR="00011A39" w:rsidRPr="00B452F1">
        <w:t>A</w:t>
      </w:r>
      <w:r w:rsidR="002D0085" w:rsidRPr="00B452F1">
        <w:t xml:space="preserve">ssociated </w:t>
      </w:r>
    </w:p>
    <w:p w14:paraId="03789B7E" w14:textId="6DAE9ECE" w:rsidR="00B452F1" w:rsidRPr="00B452F1" w:rsidRDefault="00B452F1" w:rsidP="00B452F1">
      <w:pPr>
        <w:spacing w:line="480" w:lineRule="auto"/>
      </w:pPr>
      <w:r w:rsidRPr="00B452F1">
        <w:t xml:space="preserve">           </w:t>
      </w:r>
      <w:r w:rsidR="00011A39" w:rsidRPr="00B452F1">
        <w:t>B</w:t>
      </w:r>
      <w:r w:rsidR="002D0085" w:rsidRPr="00B452F1">
        <w:t xml:space="preserve">loodstream </w:t>
      </w:r>
      <w:r w:rsidR="00011A39" w:rsidRPr="00B452F1">
        <w:t>I</w:t>
      </w:r>
      <w:r w:rsidR="002D0085" w:rsidRPr="00B452F1">
        <w:t xml:space="preserve">nfection in </w:t>
      </w:r>
      <w:r w:rsidR="00011A39" w:rsidRPr="00B452F1">
        <w:t>C</w:t>
      </w:r>
      <w:r w:rsidR="002D0085" w:rsidRPr="00B452F1">
        <w:t xml:space="preserve">ritically ill </w:t>
      </w:r>
      <w:r w:rsidR="00011A39" w:rsidRPr="00B452F1">
        <w:t>P</w:t>
      </w:r>
      <w:r w:rsidR="002D0085" w:rsidRPr="00B452F1">
        <w:t xml:space="preserve">atients: A systematic </w:t>
      </w:r>
      <w:r w:rsidRPr="00B452F1">
        <w:t>R</w:t>
      </w:r>
      <w:r w:rsidR="002D0085" w:rsidRPr="00B452F1">
        <w:t xml:space="preserve">eview </w:t>
      </w:r>
      <w:proofErr w:type="gramStart"/>
      <w:r w:rsidRPr="00B452F1">
        <w:t>W</w:t>
      </w:r>
      <w:r w:rsidR="002D0085" w:rsidRPr="00B452F1">
        <w:t>ith</w:t>
      </w:r>
      <w:proofErr w:type="gramEnd"/>
      <w:r w:rsidR="002D0085" w:rsidRPr="00B452F1">
        <w:t xml:space="preserve"> </w:t>
      </w:r>
      <w:r w:rsidRPr="00B452F1">
        <w:t>M</w:t>
      </w:r>
      <w:r w:rsidR="002D0085" w:rsidRPr="00B452F1">
        <w:t>eta-</w:t>
      </w:r>
    </w:p>
    <w:p w14:paraId="2B3E0A77" w14:textId="627D3B0F" w:rsidR="0051092E" w:rsidRPr="00B452F1" w:rsidRDefault="002D0085" w:rsidP="00B452F1">
      <w:pPr>
        <w:spacing w:line="480" w:lineRule="auto"/>
        <w:ind w:left="720"/>
      </w:pPr>
      <w:r w:rsidRPr="00B452F1">
        <w:lastRenderedPageBreak/>
        <w:t xml:space="preserve">analysis. American Journal of Infection Control, 52(6), 731–738. </w:t>
      </w:r>
      <w:hyperlink w:history="1">
        <w:r w:rsidR="00B452F1" w:rsidRPr="00B452F1">
          <w:rPr>
            <w:rStyle w:val="Hyperlink"/>
          </w:rPr>
          <w:t>https://doi-</w:t>
        </w:r>
        <w:r w:rsidR="00B452F1" w:rsidRPr="00B452F1">
          <w:rPr>
            <w:rStyle w:val="Hyperlink"/>
          </w:rPr>
          <w:t xml:space="preserve">  </w:t>
        </w:r>
        <w:r w:rsidR="00B452F1" w:rsidRPr="00B452F1">
          <w:rPr>
            <w:rStyle w:val="Hyperlink"/>
          </w:rPr>
          <w:t>org.proxy.lib.odu.edu/10.1016/j.ajic.2024.01.019</w:t>
        </w:r>
      </w:hyperlink>
    </w:p>
    <w:p w14:paraId="15B2DFF2" w14:textId="77777777" w:rsidR="00B452F1" w:rsidRPr="00B452F1" w:rsidRDefault="0051092E" w:rsidP="00B452F1">
      <w:pPr>
        <w:spacing w:line="480" w:lineRule="auto"/>
      </w:pPr>
      <w:r w:rsidRPr="0051092E">
        <w:t>Star</w:t>
      </w:r>
      <w:r w:rsidR="00011A39" w:rsidRPr="00B452F1">
        <w:t xml:space="preserve"> </w:t>
      </w:r>
      <w:r w:rsidRPr="0051092E">
        <w:t xml:space="preserve">K. E., </w:t>
      </w:r>
      <w:r w:rsidR="00011A39" w:rsidRPr="00B452F1">
        <w:t xml:space="preserve">&amp; </w:t>
      </w:r>
      <w:r w:rsidRPr="0051092E">
        <w:t xml:space="preserve">Lindsey K., </w:t>
      </w:r>
      <w:r w:rsidR="00011A39" w:rsidRPr="00B452F1">
        <w:t xml:space="preserve">&amp; </w:t>
      </w:r>
      <w:r w:rsidRPr="0051092E">
        <w:t xml:space="preserve">Reese S. M., </w:t>
      </w:r>
      <w:r w:rsidR="00011A39" w:rsidRPr="00B452F1">
        <w:t xml:space="preserve">&amp; </w:t>
      </w:r>
      <w:r w:rsidRPr="0051092E">
        <w:t xml:space="preserve">Paulino L., </w:t>
      </w:r>
      <w:r w:rsidR="00011A39" w:rsidRPr="00B452F1">
        <w:t>&amp;</w:t>
      </w:r>
      <w:r w:rsidRPr="0051092E">
        <w:t xml:space="preserve">Hernandez L. L., </w:t>
      </w:r>
      <w:r w:rsidR="00011A39" w:rsidRPr="00B452F1">
        <w:t xml:space="preserve">&amp; </w:t>
      </w:r>
      <w:r w:rsidRPr="0051092E">
        <w:t xml:space="preserve">Tynes I., </w:t>
      </w:r>
      <w:r w:rsidR="00011A39" w:rsidRPr="00B452F1">
        <w:t xml:space="preserve">&amp; </w:t>
      </w:r>
    </w:p>
    <w:p w14:paraId="4049C1BB" w14:textId="77777777" w:rsidR="00B452F1" w:rsidRPr="00B452F1" w:rsidRDefault="00B452F1" w:rsidP="00B452F1">
      <w:pPr>
        <w:spacing w:line="480" w:lineRule="auto"/>
      </w:pPr>
      <w:r w:rsidRPr="00B452F1">
        <w:t xml:space="preserve">            </w:t>
      </w:r>
      <w:r w:rsidR="0051092E" w:rsidRPr="0051092E">
        <w:t xml:space="preserve">Eiseman K., &amp; Tynes J. (2024). Reducing </w:t>
      </w:r>
      <w:r w:rsidRPr="00B452F1">
        <w:t>C</w:t>
      </w:r>
      <w:r w:rsidR="0051092E" w:rsidRPr="0051092E">
        <w:t xml:space="preserve">entral </w:t>
      </w:r>
      <w:r w:rsidRPr="00B452F1">
        <w:t>L</w:t>
      </w:r>
      <w:r w:rsidR="0051092E" w:rsidRPr="0051092E">
        <w:t>ine-</w:t>
      </w:r>
      <w:r w:rsidRPr="00B452F1">
        <w:t>A</w:t>
      </w:r>
      <w:r w:rsidR="0051092E" w:rsidRPr="0051092E">
        <w:t xml:space="preserve">ssociated </w:t>
      </w:r>
      <w:r w:rsidRPr="00B452F1">
        <w:t>b</w:t>
      </w:r>
      <w:r w:rsidR="0051092E" w:rsidRPr="0051092E">
        <w:t xml:space="preserve">loodstream </w:t>
      </w:r>
      <w:r w:rsidRPr="00B452F1">
        <w:t>I</w:t>
      </w:r>
      <w:r w:rsidR="0051092E" w:rsidRPr="0051092E">
        <w:t>nfection</w:t>
      </w:r>
    </w:p>
    <w:p w14:paraId="03E833CE" w14:textId="77777777" w:rsidR="00B452F1" w:rsidRPr="00B452F1" w:rsidRDefault="00B452F1" w:rsidP="00B452F1">
      <w:pPr>
        <w:spacing w:line="480" w:lineRule="auto"/>
      </w:pPr>
      <w:r w:rsidRPr="00B452F1">
        <w:t xml:space="preserve">          </w:t>
      </w:r>
      <w:r w:rsidR="0051092E" w:rsidRPr="0051092E">
        <w:t xml:space="preserve"> </w:t>
      </w:r>
      <w:r w:rsidRPr="00B452F1">
        <w:t>W</w:t>
      </w:r>
      <w:r w:rsidR="0051092E" w:rsidRPr="0051092E">
        <w:t xml:space="preserve">ith a </w:t>
      </w:r>
      <w:r w:rsidRPr="00B452F1">
        <w:t>D</w:t>
      </w:r>
      <w:r w:rsidR="0051092E" w:rsidRPr="0051092E">
        <w:t xml:space="preserve">edicated CLABSI </w:t>
      </w:r>
      <w:r w:rsidRPr="00B452F1">
        <w:t>P</w:t>
      </w:r>
      <w:r w:rsidR="0051092E" w:rsidRPr="0051092E">
        <w:t xml:space="preserve">revention </w:t>
      </w:r>
      <w:r w:rsidRPr="00B452F1">
        <w:t>R</w:t>
      </w:r>
      <w:r w:rsidR="0051092E" w:rsidRPr="0051092E">
        <w:t xml:space="preserve">egistered </w:t>
      </w:r>
      <w:r w:rsidRPr="00B452F1">
        <w:t>N</w:t>
      </w:r>
      <w:r w:rsidR="0051092E" w:rsidRPr="0051092E">
        <w:t xml:space="preserve">urse </w:t>
      </w:r>
      <w:r w:rsidRPr="00B452F1">
        <w:t>R</w:t>
      </w:r>
      <w:r w:rsidR="0051092E" w:rsidRPr="0051092E">
        <w:t xml:space="preserve">ole. American Journal of </w:t>
      </w:r>
    </w:p>
    <w:p w14:paraId="145BDD3E" w14:textId="50967DFB" w:rsidR="0051092E" w:rsidRPr="00B452F1" w:rsidRDefault="0051092E" w:rsidP="00B452F1">
      <w:pPr>
        <w:spacing w:line="480" w:lineRule="auto"/>
        <w:ind w:left="720"/>
      </w:pPr>
      <w:r w:rsidRPr="0051092E">
        <w:t xml:space="preserve">Infection Control, 52(6), 659–663. </w:t>
      </w:r>
      <w:hyperlink w:history="1">
        <w:r w:rsidR="00B452F1" w:rsidRPr="0051092E">
          <w:rPr>
            <w:rStyle w:val="Hyperlink"/>
          </w:rPr>
          <w:t>https://doi-</w:t>
        </w:r>
        <w:r w:rsidR="00B452F1" w:rsidRPr="00B452F1">
          <w:rPr>
            <w:rStyle w:val="Hyperlink"/>
          </w:rPr>
          <w:t xml:space="preserve">  </w:t>
        </w:r>
        <w:r w:rsidR="00B452F1" w:rsidRPr="0051092E">
          <w:rPr>
            <w:rStyle w:val="Hyperlink"/>
          </w:rPr>
          <w:t>org.proxy.lib.odu.edu/10.1016/j.ajic.2023.11.021</w:t>
        </w:r>
      </w:hyperlink>
    </w:p>
    <w:p w14:paraId="1FF39B88" w14:textId="77777777" w:rsidR="00B452F1" w:rsidRPr="00B452F1" w:rsidRDefault="0076109A" w:rsidP="00B452F1">
      <w:pPr>
        <w:spacing w:line="480" w:lineRule="auto"/>
      </w:pPr>
      <w:bookmarkStart w:id="7" w:name="_Hlk170368319"/>
      <w:r w:rsidRPr="00B452F1">
        <w:t>Toor</w:t>
      </w:r>
      <w:bookmarkEnd w:id="7"/>
      <w:r w:rsidRPr="00B452F1">
        <w:t xml:space="preserve"> H., </w:t>
      </w:r>
      <w:r w:rsidR="00011A39" w:rsidRPr="00B452F1">
        <w:t>&amp;</w:t>
      </w:r>
      <w:r w:rsidRPr="00B452F1">
        <w:t xml:space="preserve">Farr S., </w:t>
      </w:r>
      <w:r w:rsidR="00011A39" w:rsidRPr="00B452F1">
        <w:t>&amp;</w:t>
      </w:r>
      <w:r w:rsidRPr="00B452F1">
        <w:t xml:space="preserve">Savla P., </w:t>
      </w:r>
      <w:r w:rsidR="00011A39" w:rsidRPr="00B452F1">
        <w:t xml:space="preserve">&amp; </w:t>
      </w:r>
      <w:r w:rsidRPr="00B452F1">
        <w:t xml:space="preserve">Kashyap S., </w:t>
      </w:r>
      <w:r w:rsidR="00011A39" w:rsidRPr="00B452F1">
        <w:t xml:space="preserve">&amp; </w:t>
      </w:r>
      <w:r w:rsidRPr="00B452F1">
        <w:t xml:space="preserve">Wang S., &amp; Miulli D. E. (2022). Prevalence of </w:t>
      </w:r>
    </w:p>
    <w:p w14:paraId="3EA910BC" w14:textId="77777777" w:rsidR="00B452F1" w:rsidRPr="00B452F1" w:rsidRDefault="00B452F1" w:rsidP="00B452F1">
      <w:pPr>
        <w:spacing w:line="480" w:lineRule="auto"/>
      </w:pPr>
      <w:r w:rsidRPr="00B452F1">
        <w:t xml:space="preserve">          </w:t>
      </w:r>
      <w:r w:rsidR="0076109A" w:rsidRPr="00B452F1">
        <w:t>Central Line-Associated Bloodstream Infections (CLABSI) in Intensive Care and Medical-</w:t>
      </w:r>
    </w:p>
    <w:p w14:paraId="709C8B37" w14:textId="2F3A167B" w:rsidR="0076109A" w:rsidRPr="00B452F1" w:rsidRDefault="00B452F1" w:rsidP="00B452F1">
      <w:pPr>
        <w:spacing w:line="480" w:lineRule="auto"/>
      </w:pPr>
      <w:r w:rsidRPr="00B452F1">
        <w:t xml:space="preserve">          </w:t>
      </w:r>
      <w:r w:rsidR="0076109A" w:rsidRPr="00B452F1">
        <w:t>Surgical Units. Cureus, 14(3), e22809. https://doi.org/10.7759/cureus.22809</w:t>
      </w:r>
    </w:p>
    <w:sectPr w:rsidR="0076109A" w:rsidRPr="00B452F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3B09" w14:textId="77777777" w:rsidR="00A27373" w:rsidRDefault="00A27373" w:rsidP="00A27373">
      <w:r>
        <w:separator/>
      </w:r>
    </w:p>
  </w:endnote>
  <w:endnote w:type="continuationSeparator" w:id="0">
    <w:p w14:paraId="15CB21BD" w14:textId="77777777" w:rsidR="00A27373" w:rsidRDefault="00A27373" w:rsidP="00A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26210"/>
      <w:docPartObj>
        <w:docPartGallery w:val="Page Numbers (Bottom of Page)"/>
        <w:docPartUnique/>
      </w:docPartObj>
    </w:sdtPr>
    <w:sdtEndPr>
      <w:rPr>
        <w:noProof/>
      </w:rPr>
    </w:sdtEndPr>
    <w:sdtContent>
      <w:p w14:paraId="5D8237BF" w14:textId="22EEA05E" w:rsidR="00A27373" w:rsidRDefault="00A273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69BAB" w14:textId="77777777" w:rsidR="00A27373" w:rsidRDefault="00A27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CCE5" w14:textId="77777777" w:rsidR="00A27373" w:rsidRDefault="00A27373" w:rsidP="00A27373">
      <w:r>
        <w:separator/>
      </w:r>
    </w:p>
  </w:footnote>
  <w:footnote w:type="continuationSeparator" w:id="0">
    <w:p w14:paraId="5350D783" w14:textId="77777777" w:rsidR="00A27373" w:rsidRDefault="00A27373" w:rsidP="00A2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E24BE"/>
    <w:multiLevelType w:val="hybridMultilevel"/>
    <w:tmpl w:val="8AA0A880"/>
    <w:lvl w:ilvl="0" w:tplc="B72CAA70">
      <w:start w:val="1"/>
      <w:numFmt w:val="decimal"/>
      <w:lvlText w:val="%1."/>
      <w:lvlJc w:val="left"/>
      <w:pPr>
        <w:tabs>
          <w:tab w:val="num" w:pos="720"/>
        </w:tabs>
        <w:ind w:left="720" w:hanging="360"/>
      </w:pPr>
    </w:lvl>
    <w:lvl w:ilvl="1" w:tplc="079086C0">
      <w:numFmt w:val="bullet"/>
      <w:lvlText w:val="•"/>
      <w:lvlJc w:val="left"/>
      <w:pPr>
        <w:tabs>
          <w:tab w:val="num" w:pos="1440"/>
        </w:tabs>
        <w:ind w:left="1440" w:hanging="360"/>
      </w:pPr>
      <w:rPr>
        <w:rFonts w:ascii="Arial" w:hAnsi="Arial" w:hint="default"/>
      </w:rPr>
    </w:lvl>
    <w:lvl w:ilvl="2" w:tplc="D6D64DFE">
      <w:numFmt w:val="bullet"/>
      <w:lvlText w:val="•"/>
      <w:lvlJc w:val="left"/>
      <w:pPr>
        <w:tabs>
          <w:tab w:val="num" w:pos="2160"/>
        </w:tabs>
        <w:ind w:left="2160" w:hanging="360"/>
      </w:pPr>
      <w:rPr>
        <w:rFonts w:ascii="Arial" w:hAnsi="Arial" w:hint="default"/>
      </w:rPr>
    </w:lvl>
    <w:lvl w:ilvl="3" w:tplc="58FA028C" w:tentative="1">
      <w:start w:val="1"/>
      <w:numFmt w:val="decimal"/>
      <w:lvlText w:val="%4."/>
      <w:lvlJc w:val="left"/>
      <w:pPr>
        <w:tabs>
          <w:tab w:val="num" w:pos="2880"/>
        </w:tabs>
        <w:ind w:left="2880" w:hanging="360"/>
      </w:pPr>
    </w:lvl>
    <w:lvl w:ilvl="4" w:tplc="1E5C3286" w:tentative="1">
      <w:start w:val="1"/>
      <w:numFmt w:val="decimal"/>
      <w:lvlText w:val="%5."/>
      <w:lvlJc w:val="left"/>
      <w:pPr>
        <w:tabs>
          <w:tab w:val="num" w:pos="3600"/>
        </w:tabs>
        <w:ind w:left="3600" w:hanging="360"/>
      </w:pPr>
    </w:lvl>
    <w:lvl w:ilvl="5" w:tplc="9F8C39D6" w:tentative="1">
      <w:start w:val="1"/>
      <w:numFmt w:val="decimal"/>
      <w:lvlText w:val="%6."/>
      <w:lvlJc w:val="left"/>
      <w:pPr>
        <w:tabs>
          <w:tab w:val="num" w:pos="4320"/>
        </w:tabs>
        <w:ind w:left="4320" w:hanging="360"/>
      </w:pPr>
    </w:lvl>
    <w:lvl w:ilvl="6" w:tplc="49F24CC6" w:tentative="1">
      <w:start w:val="1"/>
      <w:numFmt w:val="decimal"/>
      <w:lvlText w:val="%7."/>
      <w:lvlJc w:val="left"/>
      <w:pPr>
        <w:tabs>
          <w:tab w:val="num" w:pos="5040"/>
        </w:tabs>
        <w:ind w:left="5040" w:hanging="360"/>
      </w:pPr>
    </w:lvl>
    <w:lvl w:ilvl="7" w:tplc="C25E25B2" w:tentative="1">
      <w:start w:val="1"/>
      <w:numFmt w:val="decimal"/>
      <w:lvlText w:val="%8."/>
      <w:lvlJc w:val="left"/>
      <w:pPr>
        <w:tabs>
          <w:tab w:val="num" w:pos="5760"/>
        </w:tabs>
        <w:ind w:left="5760" w:hanging="360"/>
      </w:pPr>
    </w:lvl>
    <w:lvl w:ilvl="8" w:tplc="91E0E612" w:tentative="1">
      <w:start w:val="1"/>
      <w:numFmt w:val="decimal"/>
      <w:lvlText w:val="%9."/>
      <w:lvlJc w:val="left"/>
      <w:pPr>
        <w:tabs>
          <w:tab w:val="num" w:pos="6480"/>
        </w:tabs>
        <w:ind w:left="6480" w:hanging="360"/>
      </w:pPr>
    </w:lvl>
  </w:abstractNum>
  <w:abstractNum w:abstractNumId="1" w15:restartNumberingAfterBreak="0">
    <w:nsid w:val="31053A4E"/>
    <w:multiLevelType w:val="hybridMultilevel"/>
    <w:tmpl w:val="F30A71A8"/>
    <w:lvl w:ilvl="0" w:tplc="D8CA7128">
      <w:start w:val="1"/>
      <w:numFmt w:val="decimal"/>
      <w:lvlText w:val="%1."/>
      <w:lvlJc w:val="left"/>
      <w:pPr>
        <w:tabs>
          <w:tab w:val="num" w:pos="720"/>
        </w:tabs>
        <w:ind w:left="720" w:hanging="360"/>
      </w:pPr>
    </w:lvl>
    <w:lvl w:ilvl="1" w:tplc="8308458E">
      <w:numFmt w:val="bullet"/>
      <w:lvlText w:val="•"/>
      <w:lvlJc w:val="left"/>
      <w:pPr>
        <w:tabs>
          <w:tab w:val="num" w:pos="1440"/>
        </w:tabs>
        <w:ind w:left="1440" w:hanging="360"/>
      </w:pPr>
      <w:rPr>
        <w:rFonts w:ascii="Arial" w:hAnsi="Arial" w:hint="default"/>
      </w:rPr>
    </w:lvl>
    <w:lvl w:ilvl="2" w:tplc="C792BA32" w:tentative="1">
      <w:start w:val="1"/>
      <w:numFmt w:val="decimal"/>
      <w:lvlText w:val="%3."/>
      <w:lvlJc w:val="left"/>
      <w:pPr>
        <w:tabs>
          <w:tab w:val="num" w:pos="2160"/>
        </w:tabs>
        <w:ind w:left="2160" w:hanging="360"/>
      </w:pPr>
    </w:lvl>
    <w:lvl w:ilvl="3" w:tplc="B270EADA" w:tentative="1">
      <w:start w:val="1"/>
      <w:numFmt w:val="decimal"/>
      <w:lvlText w:val="%4."/>
      <w:lvlJc w:val="left"/>
      <w:pPr>
        <w:tabs>
          <w:tab w:val="num" w:pos="2880"/>
        </w:tabs>
        <w:ind w:left="2880" w:hanging="360"/>
      </w:pPr>
    </w:lvl>
    <w:lvl w:ilvl="4" w:tplc="5606B1C6" w:tentative="1">
      <w:start w:val="1"/>
      <w:numFmt w:val="decimal"/>
      <w:lvlText w:val="%5."/>
      <w:lvlJc w:val="left"/>
      <w:pPr>
        <w:tabs>
          <w:tab w:val="num" w:pos="3600"/>
        </w:tabs>
        <w:ind w:left="3600" w:hanging="360"/>
      </w:pPr>
    </w:lvl>
    <w:lvl w:ilvl="5" w:tplc="ADE48D5A" w:tentative="1">
      <w:start w:val="1"/>
      <w:numFmt w:val="decimal"/>
      <w:lvlText w:val="%6."/>
      <w:lvlJc w:val="left"/>
      <w:pPr>
        <w:tabs>
          <w:tab w:val="num" w:pos="4320"/>
        </w:tabs>
        <w:ind w:left="4320" w:hanging="360"/>
      </w:pPr>
    </w:lvl>
    <w:lvl w:ilvl="6" w:tplc="57245E14" w:tentative="1">
      <w:start w:val="1"/>
      <w:numFmt w:val="decimal"/>
      <w:lvlText w:val="%7."/>
      <w:lvlJc w:val="left"/>
      <w:pPr>
        <w:tabs>
          <w:tab w:val="num" w:pos="5040"/>
        </w:tabs>
        <w:ind w:left="5040" w:hanging="360"/>
      </w:pPr>
    </w:lvl>
    <w:lvl w:ilvl="7" w:tplc="8E5A99F2" w:tentative="1">
      <w:start w:val="1"/>
      <w:numFmt w:val="decimal"/>
      <w:lvlText w:val="%8."/>
      <w:lvlJc w:val="left"/>
      <w:pPr>
        <w:tabs>
          <w:tab w:val="num" w:pos="5760"/>
        </w:tabs>
        <w:ind w:left="5760" w:hanging="360"/>
      </w:pPr>
    </w:lvl>
    <w:lvl w:ilvl="8" w:tplc="4DAEA542" w:tentative="1">
      <w:start w:val="1"/>
      <w:numFmt w:val="decimal"/>
      <w:lvlText w:val="%9."/>
      <w:lvlJc w:val="left"/>
      <w:pPr>
        <w:tabs>
          <w:tab w:val="num" w:pos="6480"/>
        </w:tabs>
        <w:ind w:left="6480" w:hanging="360"/>
      </w:pPr>
    </w:lvl>
  </w:abstractNum>
  <w:abstractNum w:abstractNumId="2" w15:restartNumberingAfterBreak="0">
    <w:nsid w:val="488C70CF"/>
    <w:multiLevelType w:val="hybridMultilevel"/>
    <w:tmpl w:val="264C9858"/>
    <w:lvl w:ilvl="0" w:tplc="10FE263C">
      <w:start w:val="1"/>
      <w:numFmt w:val="decimal"/>
      <w:lvlText w:val="%1."/>
      <w:lvlJc w:val="left"/>
      <w:pPr>
        <w:tabs>
          <w:tab w:val="num" w:pos="720"/>
        </w:tabs>
        <w:ind w:left="720" w:hanging="360"/>
      </w:pPr>
    </w:lvl>
    <w:lvl w:ilvl="1" w:tplc="4DD8AB04">
      <w:numFmt w:val="bullet"/>
      <w:lvlText w:val="•"/>
      <w:lvlJc w:val="left"/>
      <w:pPr>
        <w:tabs>
          <w:tab w:val="num" w:pos="1440"/>
        </w:tabs>
        <w:ind w:left="1440" w:hanging="360"/>
      </w:pPr>
      <w:rPr>
        <w:rFonts w:ascii="Arial" w:hAnsi="Arial" w:hint="default"/>
      </w:rPr>
    </w:lvl>
    <w:lvl w:ilvl="2" w:tplc="5BDECD0E" w:tentative="1">
      <w:start w:val="1"/>
      <w:numFmt w:val="decimal"/>
      <w:lvlText w:val="%3."/>
      <w:lvlJc w:val="left"/>
      <w:pPr>
        <w:tabs>
          <w:tab w:val="num" w:pos="2160"/>
        </w:tabs>
        <w:ind w:left="2160" w:hanging="360"/>
      </w:pPr>
    </w:lvl>
    <w:lvl w:ilvl="3" w:tplc="42B81BB0" w:tentative="1">
      <w:start w:val="1"/>
      <w:numFmt w:val="decimal"/>
      <w:lvlText w:val="%4."/>
      <w:lvlJc w:val="left"/>
      <w:pPr>
        <w:tabs>
          <w:tab w:val="num" w:pos="2880"/>
        </w:tabs>
        <w:ind w:left="2880" w:hanging="360"/>
      </w:pPr>
    </w:lvl>
    <w:lvl w:ilvl="4" w:tplc="89F02824" w:tentative="1">
      <w:start w:val="1"/>
      <w:numFmt w:val="decimal"/>
      <w:lvlText w:val="%5."/>
      <w:lvlJc w:val="left"/>
      <w:pPr>
        <w:tabs>
          <w:tab w:val="num" w:pos="3600"/>
        </w:tabs>
        <w:ind w:left="3600" w:hanging="360"/>
      </w:pPr>
    </w:lvl>
    <w:lvl w:ilvl="5" w:tplc="551685F4" w:tentative="1">
      <w:start w:val="1"/>
      <w:numFmt w:val="decimal"/>
      <w:lvlText w:val="%6."/>
      <w:lvlJc w:val="left"/>
      <w:pPr>
        <w:tabs>
          <w:tab w:val="num" w:pos="4320"/>
        </w:tabs>
        <w:ind w:left="4320" w:hanging="360"/>
      </w:pPr>
    </w:lvl>
    <w:lvl w:ilvl="6" w:tplc="67F451C2" w:tentative="1">
      <w:start w:val="1"/>
      <w:numFmt w:val="decimal"/>
      <w:lvlText w:val="%7."/>
      <w:lvlJc w:val="left"/>
      <w:pPr>
        <w:tabs>
          <w:tab w:val="num" w:pos="5040"/>
        </w:tabs>
        <w:ind w:left="5040" w:hanging="360"/>
      </w:pPr>
    </w:lvl>
    <w:lvl w:ilvl="7" w:tplc="ED183366" w:tentative="1">
      <w:start w:val="1"/>
      <w:numFmt w:val="decimal"/>
      <w:lvlText w:val="%8."/>
      <w:lvlJc w:val="left"/>
      <w:pPr>
        <w:tabs>
          <w:tab w:val="num" w:pos="5760"/>
        </w:tabs>
        <w:ind w:left="5760" w:hanging="360"/>
      </w:pPr>
    </w:lvl>
    <w:lvl w:ilvl="8" w:tplc="22289E52" w:tentative="1">
      <w:start w:val="1"/>
      <w:numFmt w:val="decimal"/>
      <w:lvlText w:val="%9."/>
      <w:lvlJc w:val="left"/>
      <w:pPr>
        <w:tabs>
          <w:tab w:val="num" w:pos="6480"/>
        </w:tabs>
        <w:ind w:left="6480" w:hanging="360"/>
      </w:pPr>
    </w:lvl>
  </w:abstractNum>
  <w:abstractNum w:abstractNumId="3" w15:restartNumberingAfterBreak="0">
    <w:nsid w:val="7B6227A5"/>
    <w:multiLevelType w:val="hybridMultilevel"/>
    <w:tmpl w:val="618E14CE"/>
    <w:lvl w:ilvl="0" w:tplc="62EA39E6">
      <w:start w:val="1"/>
      <w:numFmt w:val="decimal"/>
      <w:lvlText w:val="%1."/>
      <w:lvlJc w:val="left"/>
      <w:pPr>
        <w:tabs>
          <w:tab w:val="num" w:pos="720"/>
        </w:tabs>
        <w:ind w:left="720" w:hanging="360"/>
      </w:pPr>
    </w:lvl>
    <w:lvl w:ilvl="1" w:tplc="9DAEB026">
      <w:numFmt w:val="bullet"/>
      <w:lvlText w:val="•"/>
      <w:lvlJc w:val="left"/>
      <w:pPr>
        <w:tabs>
          <w:tab w:val="num" w:pos="1440"/>
        </w:tabs>
        <w:ind w:left="1440" w:hanging="360"/>
      </w:pPr>
      <w:rPr>
        <w:rFonts w:ascii="Arial" w:hAnsi="Arial" w:hint="default"/>
      </w:rPr>
    </w:lvl>
    <w:lvl w:ilvl="2" w:tplc="53369DB4" w:tentative="1">
      <w:start w:val="1"/>
      <w:numFmt w:val="decimal"/>
      <w:lvlText w:val="%3."/>
      <w:lvlJc w:val="left"/>
      <w:pPr>
        <w:tabs>
          <w:tab w:val="num" w:pos="2160"/>
        </w:tabs>
        <w:ind w:left="2160" w:hanging="360"/>
      </w:pPr>
    </w:lvl>
    <w:lvl w:ilvl="3" w:tplc="8990BCE0" w:tentative="1">
      <w:start w:val="1"/>
      <w:numFmt w:val="decimal"/>
      <w:lvlText w:val="%4."/>
      <w:lvlJc w:val="left"/>
      <w:pPr>
        <w:tabs>
          <w:tab w:val="num" w:pos="2880"/>
        </w:tabs>
        <w:ind w:left="2880" w:hanging="360"/>
      </w:pPr>
    </w:lvl>
    <w:lvl w:ilvl="4" w:tplc="81B2F4D2" w:tentative="1">
      <w:start w:val="1"/>
      <w:numFmt w:val="decimal"/>
      <w:lvlText w:val="%5."/>
      <w:lvlJc w:val="left"/>
      <w:pPr>
        <w:tabs>
          <w:tab w:val="num" w:pos="3600"/>
        </w:tabs>
        <w:ind w:left="3600" w:hanging="360"/>
      </w:pPr>
    </w:lvl>
    <w:lvl w:ilvl="5" w:tplc="B838BC50" w:tentative="1">
      <w:start w:val="1"/>
      <w:numFmt w:val="decimal"/>
      <w:lvlText w:val="%6."/>
      <w:lvlJc w:val="left"/>
      <w:pPr>
        <w:tabs>
          <w:tab w:val="num" w:pos="4320"/>
        </w:tabs>
        <w:ind w:left="4320" w:hanging="360"/>
      </w:pPr>
    </w:lvl>
    <w:lvl w:ilvl="6" w:tplc="E5128F5E" w:tentative="1">
      <w:start w:val="1"/>
      <w:numFmt w:val="decimal"/>
      <w:lvlText w:val="%7."/>
      <w:lvlJc w:val="left"/>
      <w:pPr>
        <w:tabs>
          <w:tab w:val="num" w:pos="5040"/>
        </w:tabs>
        <w:ind w:left="5040" w:hanging="360"/>
      </w:pPr>
    </w:lvl>
    <w:lvl w:ilvl="7" w:tplc="9BD0EAC4" w:tentative="1">
      <w:start w:val="1"/>
      <w:numFmt w:val="decimal"/>
      <w:lvlText w:val="%8."/>
      <w:lvlJc w:val="left"/>
      <w:pPr>
        <w:tabs>
          <w:tab w:val="num" w:pos="5760"/>
        </w:tabs>
        <w:ind w:left="5760" w:hanging="360"/>
      </w:pPr>
    </w:lvl>
    <w:lvl w:ilvl="8" w:tplc="07906778" w:tentative="1">
      <w:start w:val="1"/>
      <w:numFmt w:val="decimal"/>
      <w:lvlText w:val="%9."/>
      <w:lvlJc w:val="left"/>
      <w:pPr>
        <w:tabs>
          <w:tab w:val="num" w:pos="6480"/>
        </w:tabs>
        <w:ind w:left="6480" w:hanging="360"/>
      </w:pPr>
    </w:lvl>
  </w:abstractNum>
  <w:num w:numId="1" w16cid:durableId="612833395">
    <w:abstractNumId w:val="2"/>
  </w:num>
  <w:num w:numId="2" w16cid:durableId="610019391">
    <w:abstractNumId w:val="1"/>
  </w:num>
  <w:num w:numId="3" w16cid:durableId="2134051910">
    <w:abstractNumId w:val="0"/>
  </w:num>
  <w:num w:numId="4" w16cid:durableId="1880895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00"/>
    <w:rsid w:val="00011A39"/>
    <w:rsid w:val="00037D42"/>
    <w:rsid w:val="00094C41"/>
    <w:rsid w:val="00094EEB"/>
    <w:rsid w:val="00142561"/>
    <w:rsid w:val="001B597B"/>
    <w:rsid w:val="00224B26"/>
    <w:rsid w:val="002427B2"/>
    <w:rsid w:val="00275A94"/>
    <w:rsid w:val="002C3A19"/>
    <w:rsid w:val="002D0085"/>
    <w:rsid w:val="002D51BF"/>
    <w:rsid w:val="003669EA"/>
    <w:rsid w:val="00377199"/>
    <w:rsid w:val="003C6A3B"/>
    <w:rsid w:val="003E4282"/>
    <w:rsid w:val="003F2DC1"/>
    <w:rsid w:val="0041704A"/>
    <w:rsid w:val="004448C8"/>
    <w:rsid w:val="00473C02"/>
    <w:rsid w:val="00493DD1"/>
    <w:rsid w:val="00503FDE"/>
    <w:rsid w:val="0051092E"/>
    <w:rsid w:val="00530348"/>
    <w:rsid w:val="005F39EE"/>
    <w:rsid w:val="00664DC2"/>
    <w:rsid w:val="006701C0"/>
    <w:rsid w:val="00685950"/>
    <w:rsid w:val="00687C78"/>
    <w:rsid w:val="006C1B19"/>
    <w:rsid w:val="006D03C9"/>
    <w:rsid w:val="006E3F22"/>
    <w:rsid w:val="00700FCF"/>
    <w:rsid w:val="00714393"/>
    <w:rsid w:val="0072291B"/>
    <w:rsid w:val="00730CB5"/>
    <w:rsid w:val="00757C2A"/>
    <w:rsid w:val="0076109A"/>
    <w:rsid w:val="007959AD"/>
    <w:rsid w:val="007A1FAD"/>
    <w:rsid w:val="007F1C42"/>
    <w:rsid w:val="00874EB1"/>
    <w:rsid w:val="008C66BD"/>
    <w:rsid w:val="008E3614"/>
    <w:rsid w:val="008E779A"/>
    <w:rsid w:val="00927823"/>
    <w:rsid w:val="00963135"/>
    <w:rsid w:val="0099683E"/>
    <w:rsid w:val="009F127C"/>
    <w:rsid w:val="00A023C5"/>
    <w:rsid w:val="00A27373"/>
    <w:rsid w:val="00A83E90"/>
    <w:rsid w:val="00AA0D3C"/>
    <w:rsid w:val="00AB6245"/>
    <w:rsid w:val="00AE5D49"/>
    <w:rsid w:val="00AE74F1"/>
    <w:rsid w:val="00AF3337"/>
    <w:rsid w:val="00B057F4"/>
    <w:rsid w:val="00B224A8"/>
    <w:rsid w:val="00B429D0"/>
    <w:rsid w:val="00B452F1"/>
    <w:rsid w:val="00BB000C"/>
    <w:rsid w:val="00BB79BA"/>
    <w:rsid w:val="00BF2191"/>
    <w:rsid w:val="00C12D3F"/>
    <w:rsid w:val="00C30F25"/>
    <w:rsid w:val="00CB2301"/>
    <w:rsid w:val="00D17400"/>
    <w:rsid w:val="00D76545"/>
    <w:rsid w:val="00DC2BE6"/>
    <w:rsid w:val="00DE33DC"/>
    <w:rsid w:val="00E038C3"/>
    <w:rsid w:val="00E62F94"/>
    <w:rsid w:val="00E80379"/>
    <w:rsid w:val="00E969F3"/>
    <w:rsid w:val="00EA31FE"/>
    <w:rsid w:val="00EB37C3"/>
    <w:rsid w:val="00F1520B"/>
    <w:rsid w:val="00F41AD6"/>
    <w:rsid w:val="00F60652"/>
    <w:rsid w:val="00F9619C"/>
    <w:rsid w:val="00FC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1ECD"/>
  <w15:chartTrackingRefBased/>
  <w15:docId w15:val="{AA1CE45F-F049-4F8B-B260-3A2F94F9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00"/>
    <w:pPr>
      <w:spacing w:after="0" w:line="240" w:lineRule="auto"/>
      <w:contextualSpacing/>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D17400"/>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D17400"/>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D17400"/>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D17400"/>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D17400"/>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D174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4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4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4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400"/>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D17400"/>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D17400"/>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D17400"/>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D17400"/>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D1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400"/>
    <w:rPr>
      <w:rFonts w:eastAsiaTheme="majorEastAsia" w:cstheme="majorBidi"/>
      <w:color w:val="272727" w:themeColor="text1" w:themeTint="D8"/>
    </w:rPr>
  </w:style>
  <w:style w:type="paragraph" w:styleId="Title">
    <w:name w:val="Title"/>
    <w:basedOn w:val="Normal"/>
    <w:next w:val="Normal"/>
    <w:link w:val="TitleChar"/>
    <w:uiPriority w:val="10"/>
    <w:qFormat/>
    <w:rsid w:val="00D1740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400"/>
    <w:pPr>
      <w:spacing w:before="160"/>
      <w:jc w:val="center"/>
    </w:pPr>
    <w:rPr>
      <w:i/>
      <w:iCs/>
      <w:color w:val="404040" w:themeColor="text1" w:themeTint="BF"/>
    </w:rPr>
  </w:style>
  <w:style w:type="character" w:customStyle="1" w:styleId="QuoteChar">
    <w:name w:val="Quote Char"/>
    <w:basedOn w:val="DefaultParagraphFont"/>
    <w:link w:val="Quote"/>
    <w:uiPriority w:val="29"/>
    <w:rsid w:val="00D17400"/>
    <w:rPr>
      <w:i/>
      <w:iCs/>
      <w:color w:val="404040" w:themeColor="text1" w:themeTint="BF"/>
    </w:rPr>
  </w:style>
  <w:style w:type="paragraph" w:styleId="ListParagraph">
    <w:name w:val="List Paragraph"/>
    <w:basedOn w:val="Normal"/>
    <w:uiPriority w:val="34"/>
    <w:qFormat/>
    <w:rsid w:val="00D17400"/>
    <w:pPr>
      <w:ind w:left="720"/>
    </w:pPr>
  </w:style>
  <w:style w:type="character" w:styleId="IntenseEmphasis">
    <w:name w:val="Intense Emphasis"/>
    <w:basedOn w:val="DefaultParagraphFont"/>
    <w:uiPriority w:val="21"/>
    <w:qFormat/>
    <w:rsid w:val="00D17400"/>
    <w:rPr>
      <w:i/>
      <w:iCs/>
      <w:color w:val="A5A5A5" w:themeColor="accent1" w:themeShade="BF"/>
    </w:rPr>
  </w:style>
  <w:style w:type="paragraph" w:styleId="IntenseQuote">
    <w:name w:val="Intense Quote"/>
    <w:basedOn w:val="Normal"/>
    <w:next w:val="Normal"/>
    <w:link w:val="IntenseQuoteChar"/>
    <w:uiPriority w:val="30"/>
    <w:qFormat/>
    <w:rsid w:val="00D17400"/>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D17400"/>
    <w:rPr>
      <w:i/>
      <w:iCs/>
      <w:color w:val="A5A5A5" w:themeColor="accent1" w:themeShade="BF"/>
    </w:rPr>
  </w:style>
  <w:style w:type="character" w:styleId="IntenseReference">
    <w:name w:val="Intense Reference"/>
    <w:basedOn w:val="DefaultParagraphFont"/>
    <w:uiPriority w:val="32"/>
    <w:qFormat/>
    <w:rsid w:val="00D17400"/>
    <w:rPr>
      <w:b/>
      <w:bCs/>
      <w:smallCaps/>
      <w:color w:val="A5A5A5" w:themeColor="accent1" w:themeShade="BF"/>
      <w:spacing w:val="5"/>
    </w:rPr>
  </w:style>
  <w:style w:type="paragraph" w:styleId="Header">
    <w:name w:val="header"/>
    <w:basedOn w:val="Normal"/>
    <w:link w:val="HeaderChar"/>
    <w:uiPriority w:val="99"/>
    <w:unhideWhenUsed/>
    <w:rsid w:val="00A27373"/>
    <w:pPr>
      <w:tabs>
        <w:tab w:val="center" w:pos="4680"/>
        <w:tab w:val="right" w:pos="9360"/>
      </w:tabs>
    </w:pPr>
  </w:style>
  <w:style w:type="character" w:customStyle="1" w:styleId="HeaderChar">
    <w:name w:val="Header Char"/>
    <w:basedOn w:val="DefaultParagraphFont"/>
    <w:link w:val="Header"/>
    <w:uiPriority w:val="99"/>
    <w:rsid w:val="00A2737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A27373"/>
    <w:pPr>
      <w:tabs>
        <w:tab w:val="center" w:pos="4680"/>
        <w:tab w:val="right" w:pos="9360"/>
      </w:tabs>
    </w:pPr>
  </w:style>
  <w:style w:type="character" w:customStyle="1" w:styleId="FooterChar">
    <w:name w:val="Footer Char"/>
    <w:basedOn w:val="DefaultParagraphFont"/>
    <w:link w:val="Footer"/>
    <w:uiPriority w:val="99"/>
    <w:rsid w:val="00A27373"/>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493DD1"/>
    <w:rPr>
      <w:color w:val="5F5F5F" w:themeColor="hyperlink"/>
      <w:u w:val="single"/>
    </w:rPr>
  </w:style>
  <w:style w:type="character" w:styleId="UnresolvedMention">
    <w:name w:val="Unresolved Mention"/>
    <w:basedOn w:val="DefaultParagraphFont"/>
    <w:uiPriority w:val="99"/>
    <w:semiHidden/>
    <w:unhideWhenUsed/>
    <w:rsid w:val="00493DD1"/>
    <w:rPr>
      <w:color w:val="605E5C"/>
      <w:shd w:val="clear" w:color="auto" w:fill="E1DFDD"/>
    </w:rPr>
  </w:style>
  <w:style w:type="character" w:styleId="FollowedHyperlink">
    <w:name w:val="FollowedHyperlink"/>
    <w:basedOn w:val="DefaultParagraphFont"/>
    <w:uiPriority w:val="99"/>
    <w:semiHidden/>
    <w:unhideWhenUsed/>
    <w:rsid w:val="00B452F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354611">
      <w:bodyDiv w:val="1"/>
      <w:marLeft w:val="0"/>
      <w:marRight w:val="0"/>
      <w:marTop w:val="0"/>
      <w:marBottom w:val="0"/>
      <w:divBdr>
        <w:top w:val="none" w:sz="0" w:space="0" w:color="auto"/>
        <w:left w:val="none" w:sz="0" w:space="0" w:color="auto"/>
        <w:bottom w:val="none" w:sz="0" w:space="0" w:color="auto"/>
        <w:right w:val="none" w:sz="0" w:space="0" w:color="auto"/>
      </w:divBdr>
      <w:divsChild>
        <w:div w:id="703139260">
          <w:marLeft w:val="1166"/>
          <w:marRight w:val="0"/>
          <w:marTop w:val="300"/>
          <w:marBottom w:val="0"/>
          <w:divBdr>
            <w:top w:val="none" w:sz="0" w:space="0" w:color="auto"/>
            <w:left w:val="none" w:sz="0" w:space="0" w:color="auto"/>
            <w:bottom w:val="none" w:sz="0" w:space="0" w:color="auto"/>
            <w:right w:val="none" w:sz="0" w:space="0" w:color="auto"/>
          </w:divBdr>
        </w:div>
        <w:div w:id="1687055335">
          <w:marLeft w:val="1627"/>
          <w:marRight w:val="0"/>
          <w:marTop w:val="150"/>
          <w:marBottom w:val="0"/>
          <w:divBdr>
            <w:top w:val="none" w:sz="0" w:space="0" w:color="auto"/>
            <w:left w:val="none" w:sz="0" w:space="0" w:color="auto"/>
            <w:bottom w:val="none" w:sz="0" w:space="0" w:color="auto"/>
            <w:right w:val="none" w:sz="0" w:space="0" w:color="auto"/>
          </w:divBdr>
        </w:div>
        <w:div w:id="720831674">
          <w:marLeft w:val="1627"/>
          <w:marRight w:val="0"/>
          <w:marTop w:val="150"/>
          <w:marBottom w:val="0"/>
          <w:divBdr>
            <w:top w:val="none" w:sz="0" w:space="0" w:color="auto"/>
            <w:left w:val="none" w:sz="0" w:space="0" w:color="auto"/>
            <w:bottom w:val="none" w:sz="0" w:space="0" w:color="auto"/>
            <w:right w:val="none" w:sz="0" w:space="0" w:color="auto"/>
          </w:divBdr>
        </w:div>
        <w:div w:id="370427182">
          <w:marLeft w:val="2707"/>
          <w:marRight w:val="0"/>
          <w:marTop w:val="150"/>
          <w:marBottom w:val="0"/>
          <w:divBdr>
            <w:top w:val="none" w:sz="0" w:space="0" w:color="auto"/>
            <w:left w:val="none" w:sz="0" w:space="0" w:color="auto"/>
            <w:bottom w:val="none" w:sz="0" w:space="0" w:color="auto"/>
            <w:right w:val="none" w:sz="0" w:space="0" w:color="auto"/>
          </w:divBdr>
        </w:div>
        <w:div w:id="2072119523">
          <w:marLeft w:val="2707"/>
          <w:marRight w:val="0"/>
          <w:marTop w:val="150"/>
          <w:marBottom w:val="0"/>
          <w:divBdr>
            <w:top w:val="none" w:sz="0" w:space="0" w:color="auto"/>
            <w:left w:val="none" w:sz="0" w:space="0" w:color="auto"/>
            <w:bottom w:val="none" w:sz="0" w:space="0" w:color="auto"/>
            <w:right w:val="none" w:sz="0" w:space="0" w:color="auto"/>
          </w:divBdr>
        </w:div>
        <w:div w:id="2041932890">
          <w:marLeft w:val="1166"/>
          <w:marRight w:val="0"/>
          <w:marTop w:val="300"/>
          <w:marBottom w:val="0"/>
          <w:divBdr>
            <w:top w:val="none" w:sz="0" w:space="0" w:color="auto"/>
            <w:left w:val="none" w:sz="0" w:space="0" w:color="auto"/>
            <w:bottom w:val="none" w:sz="0" w:space="0" w:color="auto"/>
            <w:right w:val="none" w:sz="0" w:space="0" w:color="auto"/>
          </w:divBdr>
        </w:div>
        <w:div w:id="793718805">
          <w:marLeft w:val="1627"/>
          <w:marRight w:val="0"/>
          <w:marTop w:val="150"/>
          <w:marBottom w:val="0"/>
          <w:divBdr>
            <w:top w:val="none" w:sz="0" w:space="0" w:color="auto"/>
            <w:left w:val="none" w:sz="0" w:space="0" w:color="auto"/>
            <w:bottom w:val="none" w:sz="0" w:space="0" w:color="auto"/>
            <w:right w:val="none" w:sz="0" w:space="0" w:color="auto"/>
          </w:divBdr>
        </w:div>
      </w:divsChild>
    </w:div>
    <w:div w:id="794057761">
      <w:bodyDiv w:val="1"/>
      <w:marLeft w:val="0"/>
      <w:marRight w:val="0"/>
      <w:marTop w:val="0"/>
      <w:marBottom w:val="0"/>
      <w:divBdr>
        <w:top w:val="none" w:sz="0" w:space="0" w:color="auto"/>
        <w:left w:val="none" w:sz="0" w:space="0" w:color="auto"/>
        <w:bottom w:val="none" w:sz="0" w:space="0" w:color="auto"/>
        <w:right w:val="none" w:sz="0" w:space="0" w:color="auto"/>
      </w:divBdr>
      <w:divsChild>
        <w:div w:id="369308840">
          <w:marLeft w:val="1166"/>
          <w:marRight w:val="0"/>
          <w:marTop w:val="300"/>
          <w:marBottom w:val="0"/>
          <w:divBdr>
            <w:top w:val="none" w:sz="0" w:space="0" w:color="auto"/>
            <w:left w:val="none" w:sz="0" w:space="0" w:color="auto"/>
            <w:bottom w:val="none" w:sz="0" w:space="0" w:color="auto"/>
            <w:right w:val="none" w:sz="0" w:space="0" w:color="auto"/>
          </w:divBdr>
        </w:div>
        <w:div w:id="188221785">
          <w:marLeft w:val="1627"/>
          <w:marRight w:val="0"/>
          <w:marTop w:val="150"/>
          <w:marBottom w:val="0"/>
          <w:divBdr>
            <w:top w:val="none" w:sz="0" w:space="0" w:color="auto"/>
            <w:left w:val="none" w:sz="0" w:space="0" w:color="auto"/>
            <w:bottom w:val="none" w:sz="0" w:space="0" w:color="auto"/>
            <w:right w:val="none" w:sz="0" w:space="0" w:color="auto"/>
          </w:divBdr>
        </w:div>
        <w:div w:id="908153812">
          <w:marLeft w:val="1166"/>
          <w:marRight w:val="0"/>
          <w:marTop w:val="300"/>
          <w:marBottom w:val="0"/>
          <w:divBdr>
            <w:top w:val="none" w:sz="0" w:space="0" w:color="auto"/>
            <w:left w:val="none" w:sz="0" w:space="0" w:color="auto"/>
            <w:bottom w:val="none" w:sz="0" w:space="0" w:color="auto"/>
            <w:right w:val="none" w:sz="0" w:space="0" w:color="auto"/>
          </w:divBdr>
        </w:div>
        <w:div w:id="1231772367">
          <w:marLeft w:val="1627"/>
          <w:marRight w:val="0"/>
          <w:marTop w:val="150"/>
          <w:marBottom w:val="0"/>
          <w:divBdr>
            <w:top w:val="none" w:sz="0" w:space="0" w:color="auto"/>
            <w:left w:val="none" w:sz="0" w:space="0" w:color="auto"/>
            <w:bottom w:val="none" w:sz="0" w:space="0" w:color="auto"/>
            <w:right w:val="none" w:sz="0" w:space="0" w:color="auto"/>
          </w:divBdr>
        </w:div>
        <w:div w:id="1999838945">
          <w:marLeft w:val="806"/>
          <w:marRight w:val="0"/>
          <w:marTop w:val="300"/>
          <w:marBottom w:val="0"/>
          <w:divBdr>
            <w:top w:val="none" w:sz="0" w:space="0" w:color="auto"/>
            <w:left w:val="none" w:sz="0" w:space="0" w:color="auto"/>
            <w:bottom w:val="none" w:sz="0" w:space="0" w:color="auto"/>
            <w:right w:val="none" w:sz="0" w:space="0" w:color="auto"/>
          </w:divBdr>
        </w:div>
      </w:divsChild>
    </w:div>
    <w:div w:id="929436336">
      <w:bodyDiv w:val="1"/>
      <w:marLeft w:val="0"/>
      <w:marRight w:val="0"/>
      <w:marTop w:val="0"/>
      <w:marBottom w:val="0"/>
      <w:divBdr>
        <w:top w:val="none" w:sz="0" w:space="0" w:color="auto"/>
        <w:left w:val="none" w:sz="0" w:space="0" w:color="auto"/>
        <w:bottom w:val="none" w:sz="0" w:space="0" w:color="auto"/>
        <w:right w:val="none" w:sz="0" w:space="0" w:color="auto"/>
      </w:divBdr>
      <w:divsChild>
        <w:div w:id="647247054">
          <w:marLeft w:val="1166"/>
          <w:marRight w:val="0"/>
          <w:marTop w:val="300"/>
          <w:marBottom w:val="0"/>
          <w:divBdr>
            <w:top w:val="none" w:sz="0" w:space="0" w:color="auto"/>
            <w:left w:val="none" w:sz="0" w:space="0" w:color="auto"/>
            <w:bottom w:val="none" w:sz="0" w:space="0" w:color="auto"/>
            <w:right w:val="none" w:sz="0" w:space="0" w:color="auto"/>
          </w:divBdr>
        </w:div>
        <w:div w:id="1037122649">
          <w:marLeft w:val="1627"/>
          <w:marRight w:val="0"/>
          <w:marTop w:val="150"/>
          <w:marBottom w:val="0"/>
          <w:divBdr>
            <w:top w:val="none" w:sz="0" w:space="0" w:color="auto"/>
            <w:left w:val="none" w:sz="0" w:space="0" w:color="auto"/>
            <w:bottom w:val="none" w:sz="0" w:space="0" w:color="auto"/>
            <w:right w:val="none" w:sz="0" w:space="0" w:color="auto"/>
          </w:divBdr>
        </w:div>
        <w:div w:id="544950079">
          <w:marLeft w:val="1627"/>
          <w:marRight w:val="0"/>
          <w:marTop w:val="150"/>
          <w:marBottom w:val="0"/>
          <w:divBdr>
            <w:top w:val="none" w:sz="0" w:space="0" w:color="auto"/>
            <w:left w:val="none" w:sz="0" w:space="0" w:color="auto"/>
            <w:bottom w:val="none" w:sz="0" w:space="0" w:color="auto"/>
            <w:right w:val="none" w:sz="0" w:space="0" w:color="auto"/>
          </w:divBdr>
        </w:div>
        <w:div w:id="916018196">
          <w:marLeft w:val="1627"/>
          <w:marRight w:val="0"/>
          <w:marTop w:val="150"/>
          <w:marBottom w:val="0"/>
          <w:divBdr>
            <w:top w:val="none" w:sz="0" w:space="0" w:color="auto"/>
            <w:left w:val="none" w:sz="0" w:space="0" w:color="auto"/>
            <w:bottom w:val="none" w:sz="0" w:space="0" w:color="auto"/>
            <w:right w:val="none" w:sz="0" w:space="0" w:color="auto"/>
          </w:divBdr>
        </w:div>
      </w:divsChild>
    </w:div>
    <w:div w:id="1144201778">
      <w:bodyDiv w:val="1"/>
      <w:marLeft w:val="0"/>
      <w:marRight w:val="0"/>
      <w:marTop w:val="0"/>
      <w:marBottom w:val="0"/>
      <w:divBdr>
        <w:top w:val="none" w:sz="0" w:space="0" w:color="auto"/>
        <w:left w:val="none" w:sz="0" w:space="0" w:color="auto"/>
        <w:bottom w:val="none" w:sz="0" w:space="0" w:color="auto"/>
        <w:right w:val="none" w:sz="0" w:space="0" w:color="auto"/>
      </w:divBdr>
      <w:divsChild>
        <w:div w:id="376856592">
          <w:marLeft w:val="1166"/>
          <w:marRight w:val="0"/>
          <w:marTop w:val="300"/>
          <w:marBottom w:val="0"/>
          <w:divBdr>
            <w:top w:val="none" w:sz="0" w:space="0" w:color="auto"/>
            <w:left w:val="none" w:sz="0" w:space="0" w:color="auto"/>
            <w:bottom w:val="none" w:sz="0" w:space="0" w:color="auto"/>
            <w:right w:val="none" w:sz="0" w:space="0" w:color="auto"/>
          </w:divBdr>
        </w:div>
        <w:div w:id="1387535163">
          <w:marLeft w:val="1627"/>
          <w:marRight w:val="0"/>
          <w:marTop w:val="150"/>
          <w:marBottom w:val="0"/>
          <w:divBdr>
            <w:top w:val="none" w:sz="0" w:space="0" w:color="auto"/>
            <w:left w:val="none" w:sz="0" w:space="0" w:color="auto"/>
            <w:bottom w:val="none" w:sz="0" w:space="0" w:color="auto"/>
            <w:right w:val="none" w:sz="0" w:space="0" w:color="auto"/>
          </w:divBdr>
        </w:div>
        <w:div w:id="116334973">
          <w:marLeft w:val="1627"/>
          <w:marRight w:val="0"/>
          <w:marTop w:val="150"/>
          <w:marBottom w:val="0"/>
          <w:divBdr>
            <w:top w:val="none" w:sz="0" w:space="0" w:color="auto"/>
            <w:left w:val="none" w:sz="0" w:space="0" w:color="auto"/>
            <w:bottom w:val="none" w:sz="0" w:space="0" w:color="auto"/>
            <w:right w:val="none" w:sz="0" w:space="0" w:color="auto"/>
          </w:divBdr>
        </w:div>
        <w:div w:id="472724445">
          <w:marLeft w:val="1166"/>
          <w:marRight w:val="0"/>
          <w:marTop w:val="300"/>
          <w:marBottom w:val="0"/>
          <w:divBdr>
            <w:top w:val="none" w:sz="0" w:space="0" w:color="auto"/>
            <w:left w:val="none" w:sz="0" w:space="0" w:color="auto"/>
            <w:bottom w:val="none" w:sz="0" w:space="0" w:color="auto"/>
            <w:right w:val="none" w:sz="0" w:space="0" w:color="auto"/>
          </w:divBdr>
        </w:div>
        <w:div w:id="1366366402">
          <w:marLeft w:val="1627"/>
          <w:marRight w:val="0"/>
          <w:marTop w:val="150"/>
          <w:marBottom w:val="0"/>
          <w:divBdr>
            <w:top w:val="none" w:sz="0" w:space="0" w:color="auto"/>
            <w:left w:val="none" w:sz="0" w:space="0" w:color="auto"/>
            <w:bottom w:val="none" w:sz="0" w:space="0" w:color="auto"/>
            <w:right w:val="none" w:sz="0" w:space="0" w:color="auto"/>
          </w:divBdr>
        </w:div>
        <w:div w:id="240453821">
          <w:marLeft w:val="1627"/>
          <w:marRight w:val="0"/>
          <w:marTop w:val="150"/>
          <w:marBottom w:val="0"/>
          <w:divBdr>
            <w:top w:val="none" w:sz="0" w:space="0" w:color="auto"/>
            <w:left w:val="none" w:sz="0" w:space="0" w:color="auto"/>
            <w:bottom w:val="none" w:sz="0" w:space="0" w:color="auto"/>
            <w:right w:val="none" w:sz="0" w:space="0" w:color="auto"/>
          </w:divBdr>
        </w:div>
        <w:div w:id="1000818814">
          <w:marLeft w:val="1166"/>
          <w:marRight w:val="0"/>
          <w:marTop w:val="300"/>
          <w:marBottom w:val="0"/>
          <w:divBdr>
            <w:top w:val="none" w:sz="0" w:space="0" w:color="auto"/>
            <w:left w:val="none" w:sz="0" w:space="0" w:color="auto"/>
            <w:bottom w:val="none" w:sz="0" w:space="0" w:color="auto"/>
            <w:right w:val="none" w:sz="0" w:space="0" w:color="auto"/>
          </w:divBdr>
        </w:div>
        <w:div w:id="961302806">
          <w:marLeft w:val="1627"/>
          <w:marRight w:val="0"/>
          <w:marTop w:val="150"/>
          <w:marBottom w:val="0"/>
          <w:divBdr>
            <w:top w:val="none" w:sz="0" w:space="0" w:color="auto"/>
            <w:left w:val="none" w:sz="0" w:space="0" w:color="auto"/>
            <w:bottom w:val="none" w:sz="0" w:space="0" w:color="auto"/>
            <w:right w:val="none" w:sz="0" w:space="0" w:color="auto"/>
          </w:divBdr>
        </w:div>
        <w:div w:id="730159640">
          <w:marLeft w:val="1627"/>
          <w:marRight w:val="0"/>
          <w:marTop w:val="150"/>
          <w:marBottom w:val="0"/>
          <w:divBdr>
            <w:top w:val="none" w:sz="0" w:space="0" w:color="auto"/>
            <w:left w:val="none" w:sz="0" w:space="0" w:color="auto"/>
            <w:bottom w:val="none" w:sz="0" w:space="0" w:color="auto"/>
            <w:right w:val="none" w:sz="0" w:space="0" w:color="auto"/>
          </w:divBdr>
        </w:div>
        <w:div w:id="2110157703">
          <w:marLeft w:val="1627"/>
          <w:marRight w:val="0"/>
          <w:marTop w:val="150"/>
          <w:marBottom w:val="0"/>
          <w:divBdr>
            <w:top w:val="none" w:sz="0" w:space="0" w:color="auto"/>
            <w:left w:val="none" w:sz="0" w:space="0" w:color="auto"/>
            <w:bottom w:val="none" w:sz="0" w:space="0" w:color="auto"/>
            <w:right w:val="none" w:sz="0" w:space="0" w:color="auto"/>
          </w:divBdr>
        </w:div>
        <w:div w:id="936131823">
          <w:marLeft w:val="162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3" Type="http://schemas.openxmlformats.org/officeDocument/2006/relationships/settings" Target="settings.xml"/><Relationship Id="rId7" Type="http://schemas.openxmlformats.org/officeDocument/2006/relationships/hyperlink" Target="https://www.ncbi.nlm.nih.gov/books/NBK5577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proxy.lib.odu.edu/10.12968/bjon.2021.30.8.s37"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beauty eule</dc:creator>
  <cp:keywords/>
  <dc:description/>
  <cp:lastModifiedBy>beauty eule</cp:lastModifiedBy>
  <cp:revision>2</cp:revision>
  <dcterms:created xsi:type="dcterms:W3CDTF">2024-06-28T19:22:00Z</dcterms:created>
  <dcterms:modified xsi:type="dcterms:W3CDTF">2024-06-28T19:22:00Z</dcterms:modified>
</cp:coreProperties>
</file>